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الكامل
</w:t>
      </w:r>
    </w:p>
    <w:p>
      <w:pPr>
        <w:jc w:val="start"/>
        <w:bidi/>
      </w:pPr>
      <w:r>
        <w:rPr>
          <w:rFonts w:ascii="arial" w:hAnsi="arial" w:eastAsia="arial" w:cs="arial"/>
          <w:sz w:val="28"/>
          <w:szCs w:val="28"/>
          <w:b w:val="1"/>
          <w:bCs w:val="1"/>
          <w:rtl/>
        </w:rPr>
        <w:t xml:space="preserve">الملك الكامل
</w:t>
      </w:r>
    </w:p>
    <w:p>
      <w:pPr/>
      <w:r>
        <w:rPr/>
        <w:t xml:space="preserve">الملك الكامل  شعبان (الكامل) ابن محمد (الناصر) ابن قلاوون: من ملوك الدولة القلاوونية بمصر والشام. ولي السلطة بالقاهرة، بعد وفاة اخيه الصالح اسماعيل، وبعهد منه (سنة 646هـ) وكلن طائشا متهورا: استدعى اخويه (حاجي وحسينا) فتأخرا عن الحضور، فأمر بقتلهما! واقبل على اللهو واللعب بالحمام. وصادر اموال الموظفين. فثار امراء الجيش، فقاتلهم، فكسروه وخلعوه. وانقذوا اخويه، فولوا احدهما السلطة (وهو حاجي بن محمد) وسجنوا شعبان حيث كان اخوه فأرسل اليه حاجي من خنقه في سجنه. مدة سلطنته سنة وشهران ونصف. قال ابن تغرى بردى: ’’كان من اشد الملوك ظلما وعسفا وفسقا’’. </w:t>
      </w:r>
    </w:p>
    <w:p>
      <w:pPr>
        <w:jc w:val="start"/>
        <w:bidi/>
      </w:pPr>
      <w:r>
        <w:rPr>
          <w:sz w:val="24"/>
          <w:szCs w:val="24"/>
          <w:b w:val="1"/>
          <w:bCs w:val="1"/>
          <w:rtl/>
        </w:rPr>
        <w:t xml:space="preserve">
الأعلام،(دار العلم للملايين - بيروت،2002،ط 15،ج 3،ص 164)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2026-07-12T07:49:17+03:00</dcterms:created>
  <dcterms:modified xsi:type="dcterms:W3CDTF">2026-07-12T07:49:17+03:00</dcterms:modified>
</cp:coreProperties>
</file>

<file path=docProps/custom.xml><?xml version="1.0" encoding="utf-8"?>
<Properties xmlns="http://schemas.openxmlformats.org/officeDocument/2006/custom-properties" xmlns:vt="http://schemas.openxmlformats.org/officeDocument/2006/docPropsVTypes"/>
</file>