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
</w:t>
      </w:r>
    </w:p>
    <w:p>
      <w:pPr/>
      <w:r>
        <w:rPr/>
        <w:t xml:space="preserve">ابن نصير  أحمد بن إبراهيم بن نصير، أبو القاسم: شاعر، قال ابن الأبار: كان من رجالات الأندلس. أصله من شوذر (Jodar من أعمال جيان) وسكن قرطبة، وتوفي بمالقة.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 المغربي
</w:t>
      </w:r>
    </w:p>
    <w:p>
      <w:pPr/>
      <w:r>
        <w:rPr/>
        <w:t xml:space="preserve">ابن نصير المغربي أحمد بن إبراهيم بن نصير من أهل شوذر عمل جيان، سكن قرطبة وتوفي بمالقة رابع المحرم سنة اثنتين وست مائة، قال ابن الأبار: وكان من رجالات الأندلس، قال يخاطب الكتاب بمراكش وهو عامل إشبيلية: </w:t>
      </w:r>
    </w:p>
    <w:p/>
    <w:p>
      <w:pPr>
        <w:jc w:val="center"/>
      </w:pPr>
      <w:r>
        <w:rPr>
          <w:color w:val="ff0000"/>
        </w:rPr>
        <w:t xml:space="preserve">سلام على النادي الذي ما له ند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نظم أشتات المعالي به عقد</w:t>
      </w:r>
    </w:p>
    <w:p/>
    <w:p>
      <w:pPr>
        <w:jc w:val="center"/>
      </w:pPr>
      <w:r>
        <w:rPr>
          <w:color w:val="ff0000"/>
        </w:rPr>
        <w:t xml:space="preserve">سجايا تمشي الحكم في جنباتها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وقام صقيلا دون حوزتها الحد</w:t>
      </w:r>
    </w:p>
    <w:p/>
    <w:p>
      <w:pPr>
        <w:jc w:val="center"/>
      </w:pPr>
      <w:r>
        <w:rPr>
          <w:color w:val="ff0000"/>
        </w:rPr>
        <w:t xml:space="preserve">إذا خطبوا أو خوطبوا حفظت 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بدائع عنها يصدر الحل والعقد</w:t>
      </w:r>
    </w:p>
    <w:p/>
    <w:p>
      <w:pPr>
        <w:jc w:val="center"/>
      </w:pPr>
      <w:r>
        <w:rPr>
          <w:color w:val="ff0000"/>
        </w:rPr>
        <w:t xml:space="preserve">وإن لبس الأمجاد بردا لزينة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لهم من غير مكرمة برد</w:t>
      </w:r>
    </w:p>
    <w:p/>
    <w:p>
      <w:pPr>
        <w:jc w:val="center"/>
      </w:pPr>
      <w:r>
        <w:rPr>
          <w:color w:val="ff0000"/>
        </w:rPr>
        <w:t xml:space="preserve">حوت منهم دار الخلافة أنجما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النيرات الزهر أطلعها السعد</w:t>
      </w:r>
    </w:p>
    <w:p/>
    <w:p>
      <w:pPr>
        <w:jc w:val="center"/>
      </w:pPr>
      <w:r>
        <w:rPr>
          <w:color w:val="ff0000"/>
        </w:rPr>
        <w:t xml:space="preserve">يدل على عليائهم طيب ذكرهم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وطيب نسيم الورد ينبئني الورد</w:t>
      </w:r>
    </w:p>
    <w:p/>
    <w:p>
      <w:pPr>
        <w:jc w:val="center"/>
      </w:pPr>
      <w:r>
        <w:rPr>
          <w:color w:val="ff0000"/>
        </w:rPr>
        <w:t xml:space="preserve">ظفرت بعهد منهم أحرز المنى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ذخر إلا فوقه ذلك العهد</w:t>
      </w:r>
    </w:p>
    <w:p/>
    <w:p>
      <w:pPr/>
      <w:r>
        <w:rPr/>
        <w:t xml:space="preserve">فراجعه عنهم الحكيم أبو بكر بن يحيى بن إبراهيم الأصبحي المعروف بالخدوج، وقال ابن نصير يرثي الخطيب أبا علي الحسن بن حجاج:</w:t>
      </w:r>
    </w:p>
    <w:p/>
    <w:p>
      <w:pPr>
        <w:jc w:val="center"/>
      </w:pPr>
      <w:r>
        <w:rPr>
          <w:color w:val="ff0000"/>
        </w:rPr>
        <w:t xml:space="preserve">نعى المكارم لما أن نعى ناع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كان جامعها طرا بإجماع</w:t>
      </w:r>
    </w:p>
    <w:p/>
    <w:p>
      <w:pPr>
        <w:jc w:val="center"/>
      </w:pPr>
      <w:r>
        <w:rPr>
          <w:color w:val="ff0000"/>
        </w:rPr>
        <w:t xml:space="preserve">مضى وخلد عمرا لا نفاد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نشر ذكر ذكي العرف ضواع</w:t>
      </w:r>
    </w:p>
    <w:p/>
    <w:p>
      <w:pPr>
        <w:jc w:val="center"/>
      </w:pPr>
      <w:r>
        <w:rPr>
          <w:color w:val="ff0000"/>
        </w:rPr>
        <w:t xml:space="preserve">إذا تنازعه النادي وردده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أتت رواياته منه بأنواع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 المغربي
</w:t>
      </w:r>
    </w:p>
    <w:p>
      <w:pPr/>
      <w:r>
        <w:rPr/>
        <w:t xml:space="preserve">ابن نصير المغربي أحمد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
</w:t>
      </w:r>
    </w:p>
    <w:p>
      <w:pPr/>
      <w:r>
        <w:rPr/>
        <w:t xml:space="preserve">ابن نصير </w:t>
      </w:r>
    </w:p>
    <w:p/>
    <w:p>
      <w:pPr/>
      <w:r>
        <w:rPr/>
        <w:t xml:space="preserve">أبو القاسم أحمد بن إبراهيم بن أحمد بن نُصَير من أهل شَوْذَر عمل جيّان، وسكن قُرْطُبَة وتوفي بمالقة رابع المحرم سنة اثنتين وستمائة، وكان من رجالات الأندلس.</w:t>
      </w:r>
    </w:p>
    <w:p/>
    <w:p>
      <w:pPr/>
      <w:r>
        <w:rPr/>
        <w:t xml:space="preserve">قال يخاطب الكتَّاب بمراكش وهو عامل إشبيلية:</w:t>
      </w:r>
    </w:p>
    <w:p/>
    <w:p>
      <w:pPr>
        <w:jc w:val="center"/>
      </w:pPr>
      <w:r>
        <w:rPr>
          <w:color w:val="ff0000"/>
        </w:rPr>
        <w:t xml:space="preserve">سلامٌ على النَّادي الَّذي ما له نِدٌّ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نَظْم أشتاتِ المعالي به عقدُ</w:t>
      </w:r>
    </w:p>
    <w:p/>
    <w:p>
      <w:pPr>
        <w:jc w:val="center"/>
      </w:pPr>
      <w:r>
        <w:rPr>
          <w:color w:val="ff0000"/>
        </w:rPr>
        <w:t xml:space="preserve">سَجايا تمشَّى الحكمُ في جنباتها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وقامَ صقيلاً دون حوزتها الحدُّ</w:t>
      </w:r>
    </w:p>
    <w:p/>
    <w:p>
      <w:pPr>
        <w:jc w:val="center"/>
      </w:pPr>
      <w:r>
        <w:rPr>
          <w:color w:val="ff0000"/>
        </w:rPr>
        <w:t xml:space="preserve">إذا خطبوا أو خوطبوا حُفظتْ 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بدائعُ عنها يصدر الحلُّ والعَقدُ</w:t>
      </w:r>
    </w:p>
    <w:p/>
    <w:p>
      <w:pPr>
        <w:jc w:val="center"/>
      </w:pPr>
      <w:r>
        <w:rPr>
          <w:color w:val="ff0000"/>
        </w:rPr>
        <w:t xml:space="preserve">وإن لُبس الأمجادُ بُرداً لزينةٍ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لهم من غير مكرمةٍ بُردُ</w:t>
      </w:r>
    </w:p>
    <w:p/>
    <w:p>
      <w:pPr>
        <w:jc w:val="center"/>
      </w:pPr>
      <w:r>
        <w:rPr>
          <w:color w:val="ff0000"/>
        </w:rPr>
        <w:t xml:space="preserve">حَوَتْ منهمُ دارُ الخلافةِ أنجُماً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النيّرات الزُّهر أطلعها السعدُ</w:t>
      </w:r>
    </w:p>
    <w:p/>
    <w:p>
      <w:pPr>
        <w:jc w:val="center"/>
      </w:pPr>
      <w:r>
        <w:rPr>
          <w:color w:val="ff0000"/>
        </w:rPr>
        <w:t xml:space="preserve">يدلّ على عليائهم طيبُ ذكرِهم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وطيبَ نسيم الوردِ يُنبئني الوردُ</w:t>
      </w:r>
    </w:p>
    <w:p/>
    <w:p>
      <w:pPr>
        <w:jc w:val="center"/>
      </w:pPr>
      <w:r>
        <w:rPr>
          <w:color w:val="ff0000"/>
        </w:rPr>
        <w:t xml:space="preserve">ظفرتُ بعهدٍ منهمُ أحرز المُنى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ذُخْرَ إلاَّ فوقه ذلك العهدُ</w:t>
      </w:r>
    </w:p>
    <w:p/>
    <w:p>
      <w:pPr/>
      <w:r>
        <w:rPr/>
        <w:t xml:space="preserve">فراجعه عنهم الحكيم أبو بكر بن يحيى بن إبراهيم الأصبحي المعروف بالخدوج.</w:t>
      </w:r>
    </w:p>
    <w:p/>
    <w:p>
      <w:pPr/>
      <w:r>
        <w:rPr/>
        <w:t xml:space="preserve">وقال ابن نصير يرثي الخطيب أبا علي الحسن بن حجاج:</w:t>
      </w:r>
    </w:p>
    <w:p/>
    <w:p>
      <w:pPr>
        <w:jc w:val="center"/>
      </w:pPr>
      <w:r>
        <w:rPr>
          <w:color w:val="ff0000"/>
        </w:rPr>
        <w:t xml:space="preserve">نعى المكارمَ لمَّا أن نعى ناعِ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مَن كانَ جامِعَها طرّاً بإجماعِ</w:t>
      </w:r>
    </w:p>
    <w:p/>
    <w:p>
      <w:pPr>
        <w:jc w:val="center"/>
      </w:pPr>
      <w:r>
        <w:rPr>
          <w:color w:val="ff0000"/>
        </w:rPr>
        <w:t xml:space="preserve">مضَى وخلّد عمراً لا نفاذَ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نشر ذِكْرٍ ذكيِّ العَرْفِ ضوَّاعِ</w:t>
      </w:r>
    </w:p>
    <w:p/>
    <w:p>
      <w:pPr>
        <w:jc w:val="center"/>
      </w:pPr>
      <w:r>
        <w:rPr>
          <w:color w:val="ff0000"/>
        </w:rPr>
        <w:t xml:space="preserve">إذا تنازَعَهُ النَّادي وردَّدَهُ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أتتْ رواياتُهُ منه بأنواعِ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أيا هَضْبَتَيْ مجدٍ ويا كَوكَبَيْ سعدِ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رافدَيْ رفدٍ ويا صارمَيْ حدِّ</w:t>
      </w:r>
    </w:p>
    <w:p/>
    <w:p>
      <w:pPr>
        <w:jc w:val="center"/>
      </w:pPr>
      <w:r>
        <w:rPr>
          <w:color w:val="ff0000"/>
        </w:rPr>
        <w:t xml:space="preserve">غياثاً فقد أودى الحطيمُ ومُكِّنتْ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الدَّهرِ في حَوْبائِهِ يدُ ذي حقدِ</w:t>
      </w:r>
    </w:p>
    <w:p/>
    <w:p>
      <w:pPr>
        <w:jc w:val="center"/>
      </w:pPr>
      <w:r>
        <w:rPr>
          <w:color w:val="ff0000"/>
        </w:rPr>
        <w:t xml:space="preserve">وكيف وأنَّى وهو يُسندُ منكما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منعةٍ تُرْبي على الأبلق الفردِ</w:t>
      </w:r>
    </w:p>
    <w:p/>
    <w:p>
      <w:pPr>
        <w:jc w:val="center"/>
      </w:pPr>
      <w:r>
        <w:rPr>
          <w:color w:val="ff0000"/>
        </w:rPr>
        <w:t xml:space="preserve">فإن يدعُ يا عثمانُ أفرخَ روعُهُ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يدعُ عبد الحقِّ أيقنَ بالعضدِ</w:t>
      </w:r>
    </w:p>
    <w:p/>
    <w:p>
      <w:pPr>
        <w:jc w:val="center"/>
      </w:pPr>
      <w:r>
        <w:rPr>
          <w:color w:val="ff0000"/>
        </w:rPr>
        <w:t xml:space="preserve">ينام رضيَّ البالِ ملءَ جفونه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ولو بات ما بين الأساوِد والأُسدِ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2026-07-02T04:00:31+03:00</dcterms:created>
  <dcterms:modified xsi:type="dcterms:W3CDTF">2026-07-02T04:00:31+03:00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