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العطيفي
</w:t>
      </w:r>
    </w:p>
    <w:p>
      <w:pPr>
        <w:jc w:val="start"/>
        <w:bidi/>
      </w:pPr>
      <w:r>
        <w:rPr>
          <w:rFonts w:ascii="arial" w:hAnsi="arial" w:eastAsia="arial" w:cs="arial"/>
          <w:sz w:val="28"/>
          <w:szCs w:val="28"/>
          <w:b w:val="1"/>
          <w:bCs w:val="1"/>
          <w:rtl/>
        </w:rPr>
        <w:t xml:space="preserve">العطيفي
</w:t>
      </w:r>
    </w:p>
    <w:p>
      <w:pPr/>
      <w:r>
        <w:rPr/>
        <w:t xml:space="preserve">العطيفي  رمضان بن موسى بن محمود بن أحمد، ابن عطيف: أديب دمشقي من الحنفية، قرأ الفقه والحديث. قال المحبي: كانت له روايه في الشعر وأيام العرب وأخبار الملوك والشعراء قل أن توجد في أحد أبناء العصر. درس في جامع السنانية والدرويشية مدة حياته وجمع نفائس الكتب وكتب الكثير بخطه. له (ديوان شعر - خ) 56 ورقة في شستربتي و (رحلة إلى طرابلس الشام - خ) ذكرها بروكلمن، ورسالة في المسواك سماها (تنوير العيون). </w:t>
      </w:r>
    </w:p>
    <w:p>
      <w:pPr>
        <w:jc w:val="start"/>
        <w:bidi/>
      </w:pPr>
      <w:r>
        <w:rPr>
          <w:sz w:val="24"/>
          <w:szCs w:val="24"/>
          <w:b w:val="1"/>
          <w:bCs w:val="1"/>
          <w:rtl/>
        </w:rPr>
        <w:t xml:space="preserve">
الأعلام،(دار العلم للملايين - بيروت،2002،ط 15،ج 3،ص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2026-07-11T01:04:21+03:00</dcterms:created>
  <dcterms:modified xsi:type="dcterms:W3CDTF">2026-07-11T01:04:21+03:00</dcterms:modified>
</cp:coreProperties>
</file>

<file path=docProps/custom.xml><?xml version="1.0" encoding="utf-8"?>
<Properties xmlns="http://schemas.openxmlformats.org/officeDocument/2006/custom-properties" xmlns:vt="http://schemas.openxmlformats.org/officeDocument/2006/docPropsVTypes"/>
</file>