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بن نصر
</w:t>
      </w:r>
    </w:p>
    <w:p>
      <w:pPr>
        <w:jc w:val="start"/>
        <w:bidi/>
      </w:pPr>
      <w:r>
        <w:rPr>
          <w:rFonts w:ascii="arial" w:hAnsi="arial" w:eastAsia="arial" w:cs="arial"/>
          <w:sz w:val="28"/>
          <w:szCs w:val="28"/>
          <w:b w:val="1"/>
          <w:bCs w:val="1"/>
          <w:rtl/>
        </w:rPr>
        <w:t xml:space="preserve">رفاعة بن نصر
</w:t>
      </w:r>
    </w:p>
    <w:p>
      <w:pPr/>
      <w:r>
        <w:rPr/>
        <w:t xml:space="preserve">رفاعة بن نصر  رفاعة: جد جاهلي، من جهينة. وهو رفاعة بن نصر مالك بن غطفان بن قيس بن جهينة، ما زالت منازل بنيه بين ينبع والوجه، في الحجاز. من نسله عمرو بن مرة الصحابي. وينتسب اليه الرفاعيون في (الكاملين) على النيل الازرق بالسودان. </w:t>
      </w:r>
    </w:p>
    <w:p>
      <w:pPr>
        <w:jc w:val="start"/>
        <w:bidi/>
      </w:pPr>
      <w:r>
        <w:rPr>
          <w:sz w:val="24"/>
          <w:szCs w:val="24"/>
          <w:b w:val="1"/>
          <w:bCs w:val="1"/>
          <w:rtl/>
        </w:rPr>
        <w:t xml:space="preserve">
الأعلام،(دار العلم للملايين - بيروت،2002،ط 15،ج 3،ص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2026-07-11T00:06:30+03:00</dcterms:created>
  <dcterms:modified xsi:type="dcterms:W3CDTF">2026-07-11T00:06:30+03:00</dcterms:modified>
</cp:coreProperties>
</file>

<file path=docProps/custom.xml><?xml version="1.0" encoding="utf-8"?>
<Properties xmlns="http://schemas.openxmlformats.org/officeDocument/2006/custom-properties" xmlns:vt="http://schemas.openxmlformats.org/officeDocument/2006/docPropsVTypes"/>
</file>