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الآدر الكريمة
</w:t>
      </w:r>
    </w:p>
    <w:p>
      <w:pPr>
        <w:jc w:val="start"/>
        <w:bidi/>
      </w:pPr>
      <w:r>
        <w:rPr>
          <w:rFonts w:ascii="arial" w:hAnsi="arial" w:eastAsia="arial" w:cs="arial"/>
          <w:sz w:val="28"/>
          <w:szCs w:val="28"/>
          <w:b w:val="1"/>
          <w:bCs w:val="1"/>
          <w:rtl/>
        </w:rPr>
        <w:t xml:space="preserve">الآدر الكريمة
</w:t>
      </w:r>
    </w:p>
    <w:p>
      <w:pPr/>
      <w:r>
        <w:rPr/>
        <w:t xml:space="preserve">الآدر الكريمة الآدر الكريمة جهة صلاح: والدة السلطان (المجاهد) صاحب اليمن. كانت عاقلة حازمة ذات رياسة وسياسة وكرم نفس وعلو همة. غاب والدها (المجاهد) معتقلا في مصر أربعة عشر شهرا وأوشكت أن تثور الفتنة باليمن في بدء غيابه، فتسلمت مقاليد الحكم وضبطت البلاد إلى أن عاد. من مآثرها المدرسة الصلاحية في زبيد، ومدرسة في قرية المسلب من وادي زبيد، ومسجد في قرية التريبة، ومدرسة في قرية السلامة، ومسجد في تعز. ووقفت لكل ذلك أوقافا كافية. توفيت في حصن تعز.</w:t>
      </w:r>
    </w:p>
    <w:p>
      <w:pPr>
        <w:jc w:val="start"/>
        <w:bidi/>
      </w:pPr>
      <w:r>
        <w:rPr>
          <w:sz w:val="24"/>
          <w:szCs w:val="24"/>
          <w:b w:val="1"/>
          <w:bCs w:val="1"/>
          <w:rtl/>
        </w:rPr>
        <w:t xml:space="preserve">
الأعلام،(دار العلم للملايين - بيروت،2002،ط 15،ج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2026-05-16T14:59:26+03:00</dcterms:created>
  <dcterms:modified xsi:type="dcterms:W3CDTF">2026-05-16T14:59:26+03:00</dcterms:modified>
</cp:coreProperties>
</file>

<file path=docProps/custom.xml><?xml version="1.0" encoding="utf-8"?>
<Properties xmlns="http://schemas.openxmlformats.org/officeDocument/2006/custom-properties" xmlns:vt="http://schemas.openxmlformats.org/officeDocument/2006/docPropsVTypes"/>
</file>