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القيصري
</w:t>
      </w:r>
    </w:p>
    <w:p>
      <w:pPr>
        <w:jc w:val="start"/>
        <w:bidi/>
      </w:pPr>
      <w:r>
        <w:rPr>
          <w:rFonts w:ascii="arial" w:hAnsi="arial" w:eastAsia="arial" w:cs="arial"/>
          <w:sz w:val="28"/>
          <w:szCs w:val="28"/>
          <w:b w:val="1"/>
          <w:bCs w:val="1"/>
          <w:rtl/>
        </w:rPr>
        <w:t xml:space="preserve">القيصري
</w:t>
      </w:r>
    </w:p>
    <w:p>
      <w:pPr/>
      <w:r>
        <w:rPr/>
        <w:t xml:space="preserve">القيصري  داود بن محمود بن محمد، شرف الدين القيصري: أديب من علماء الروم من أهل قيصرية: أديب من علماء الروم من أهل قيصرية. تعلم بها وأقام بضع سنوات في مصر. وعاد إلى بلده. فدعي للتدريس في (إزنيق) وكثر تلاميذه فيها. وصنف كتبا كثيرة، منها (مطلع خصوص الكلم في معاني فصوص الحكم - ط) ويعرف بمقدمة شرح الفصوص، و (شرح الخمرية لابن الفارض - خ) بجامعة الرياض (239) ودار الكتب، و (رسالة في أحوال الخضر - خ) في (مكتبة نور عثمانية ) و (نهاية البيان ودراية الزمان - خ) في مكتبة يحيى أفندي بباشكطاش. </w:t>
      </w:r>
    </w:p>
    <w:p>
      <w:pPr>
        <w:jc w:val="start"/>
        <w:bidi/>
      </w:pPr>
      <w:r>
        <w:rPr>
          <w:sz w:val="24"/>
          <w:szCs w:val="24"/>
          <w:b w:val="1"/>
          <w:bCs w:val="1"/>
          <w:rtl/>
        </w:rPr>
        <w:t xml:space="preserve">
الأعلام،(دار العلم للملايين - بيروت،2002،ط 15،ج 2،ص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2026-07-10T17:56:14+03:00</dcterms:created>
  <dcterms:modified xsi:type="dcterms:W3CDTF">2026-07-10T17:56:14+03:00</dcterms:modified>
</cp:coreProperties>
</file>

<file path=docProps/custom.xml><?xml version="1.0" encoding="utf-8"?>
<Properties xmlns="http://schemas.openxmlformats.org/officeDocument/2006/custom-properties" xmlns:vt="http://schemas.openxmlformats.org/officeDocument/2006/docPropsVTypes"/>
</file>