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الرملي
</w:t>
      </w:r>
    </w:p>
    <w:p>
      <w:pPr/>
      <w:r>
        <w:rPr/>
        <w:t xml:space="preserve">الرملي  خيرالدين بن أحمد بن علي، الأيوبي، العليمي الفاروقفي: فقيه، باحث، له نظم من أهل الرملة (بفلسطين) ولد ومات فيها. رحل إلى مصر سنة 1007هـ ، فمكث في الأزهر ست سنين. وعاد إلى بلده، فأفتى ودرس إلى ان توفى. أشهر كتبه (الفتاوي الخيرية - ط) مجلدان، و (مظهر الحقائق - خ) حاشية على البحرالرائق في فقه الحنفية، و (ديوان شعر - خ)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2026-07-10T16:38:04+03:00</dcterms:created>
  <dcterms:modified xsi:type="dcterms:W3CDTF">2026-07-10T16:38:04+03:00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