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خناثة
</w:t>
      </w:r>
    </w:p>
    <w:p>
      <w:pPr>
        <w:jc w:val="start"/>
        <w:bidi/>
      </w:pPr>
      <w:r>
        <w:rPr>
          <w:rFonts w:ascii="arial" w:hAnsi="arial" w:eastAsia="arial" w:cs="arial"/>
          <w:sz w:val="28"/>
          <w:szCs w:val="28"/>
          <w:b w:val="1"/>
          <w:bCs w:val="1"/>
          <w:rtl/>
        </w:rPr>
        <w:t xml:space="preserve">خناثة
</w:t>
      </w:r>
    </w:p>
    <w:p>
      <w:pPr/>
      <w:r>
        <w:rPr/>
        <w:t xml:space="preserve">خناثة  خناثة بنت بكار بن علي بن عبد الله المغافري: أميرة، لها علم بالفقه والأدب. كانت قرينة المولى إسماعيل بن محمد العلوي السجلماسي. تزوج با في إحدى رحلاته إلى الصحراء حوالي سنة 1089 وفازت بثقته فكان يعتمد على رأيها ومشورتها. وهي أم ولده المولى عبد الله بن إسماعيل. وبعد وفاة زوجها (1139) كانت لها مواقف في نصرة ابنها عبد الله وولايته بعد أبيه، ظهرت فيها على مسرح السياسة وشاركت في الكفاح. وآذاها أحد أبناء زوجها، المولى أبو الحسن بن إسماعيل، فاستصفى أموالها وعذبا، وضايقها أيضا المستضيء بن إسماعيل، في مالها. وعالجت عدوانهما بصبر وحكمة إلى أن تمت البيعة لولدها عبد الله. وحجت سنة 1142 فعمت الناس بعطاياها. قيل: أنفقت في حجها مئة ألف دينار. وتوفيت بفاس الجديد. </w:t>
      </w:r>
    </w:p>
    <w:p>
      <w:pPr>
        <w:jc w:val="start"/>
        <w:bidi/>
      </w:pPr>
      <w:r>
        <w:rPr>
          <w:sz w:val="24"/>
          <w:szCs w:val="24"/>
          <w:b w:val="1"/>
          <w:bCs w:val="1"/>
          <w:rtl/>
        </w:rPr>
        <w:t xml:space="preserve">
الأعلام،(دار العلم للملايين - بيروت،2002،ط 15،ج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2026-07-10T15:30:27+03:00</dcterms:created>
  <dcterms:modified xsi:type="dcterms:W3CDTF">2026-07-10T15:30:27+03:00</dcterms:modified>
</cp:coreProperties>
</file>

<file path=docProps/custom.xml><?xml version="1.0" encoding="utf-8"?>
<Properties xmlns="http://schemas.openxmlformats.org/officeDocument/2006/custom-properties" xmlns:vt="http://schemas.openxmlformats.org/officeDocument/2006/docPropsVTypes"/>
</file>