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هشام
</w:t>
      </w:r>
    </w:p>
    <w:p>
      <w:pPr>
        <w:jc w:val="start"/>
        <w:bidi/>
      </w:pPr>
      <w:r>
        <w:rPr>
          <w:rFonts w:ascii="arial" w:hAnsi="arial" w:eastAsia="arial" w:cs="arial"/>
          <w:sz w:val="28"/>
          <w:szCs w:val="28"/>
          <w:b w:val="1"/>
          <w:bCs w:val="1"/>
          <w:rtl/>
        </w:rPr>
        <w:t xml:space="preserve">ابراهيم بن هشام
</w:t>
      </w:r>
    </w:p>
    <w:p>
      <w:pPr/>
      <w:r>
        <w:rPr/>
        <w:t xml:space="preserve">إبراهيم بن هشام</w:t>
      </w:r>
    </w:p>
    <w:p>
      <w:pPr/>
      <w:r>
        <w:rPr/>
        <w:t xml:space="preserve">إبراهيم بن هشام بن إسماعيل المخزومي القرشي: أمير المدينة المنورة، وخال هشام ابن عبد الملك. اشتهر بشدته وعتوه. وهو الذي ضرب يحيى بن عروة (انظر ترجمته في الأعلام) حتى مات حج بالناس سنة 105 وبعض السنين التي بعدها وولي المدينة ومكة والطائف سنة 107 وكثرت شكوى آل الزبير وغيرهم منه. وكثرت شكوى آل الزبير وغيرهم منه. وعزله هشام سنة 115 هـ ، فانقطع خبره.</w:t>
      </w:r>
    </w:p>
    <w:p>
      <w:pPr>
        <w:jc w:val="start"/>
        <w:bidi/>
      </w:pPr>
      <w:r>
        <w:rPr>
          <w:sz w:val="24"/>
          <w:szCs w:val="24"/>
          <w:b w:val="1"/>
          <w:bCs w:val="1"/>
          <w:rtl/>
        </w:rPr>
        <w:t xml:space="preserve">
الأعلام،(دار العلم للملايين - بيروت،2002،ط 15،ج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2026-07-02T02:48:44+03:00</dcterms:created>
  <dcterms:modified xsi:type="dcterms:W3CDTF">2026-07-02T02:48:44+03:00</dcterms:modified>
</cp:coreProperties>
</file>

<file path=docProps/custom.xml><?xml version="1.0" encoding="utf-8"?>
<Properties xmlns="http://schemas.openxmlformats.org/officeDocument/2006/custom-properties" xmlns:vt="http://schemas.openxmlformats.org/officeDocument/2006/docPropsVTypes"/>
</file>