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السدوسي
</w:t>
      </w:r>
    </w:p>
    <w:p>
      <w:pPr>
        <w:jc w:val="start"/>
        <w:bidi/>
      </w:pPr>
      <w:r>
        <w:rPr>
          <w:rFonts w:ascii="arial" w:hAnsi="arial" w:eastAsia="arial" w:cs="arial"/>
          <w:sz w:val="28"/>
          <w:szCs w:val="28"/>
          <w:b w:val="1"/>
          <w:bCs w:val="1"/>
          <w:rtl/>
        </w:rPr>
        <w:t xml:space="preserve">خالد السدوسي
</w:t>
      </w:r>
    </w:p>
    <w:p>
      <w:pPr/>
      <w:r>
        <w:rPr/>
        <w:t xml:space="preserve">خالد السدوسي  خالد بن أحمد بن خالد السدوسي الذهلي أبو الهيثم: أحد الأمراء في العهد العباسي. ولي إمرة خراسان، ثم بخارى وسكنها، وله بها آثار محمودة. وكان عالما بالحديث فاستقدم إليها بعض كبار الحفاظ، وصنف له نصر بن أحمد البغدادي (مسندا) وطلب من الإمام محمد بن إسماعيل البخاري أن يوافيه، فامتنع، فاخرجه من بخارى إلى ناحية سمرقند فمات في احد قراها. وبلغ المعتمد (الخليفة العباسي) عنه ما أحقده عليه. واتأذن خالد للحج، فأذن له المعتمد، فمر ببغداد سنة 269هـ ، فقبض عليه وحبسه، فمات بها في الحبس</w:t>
      </w:r>
    </w:p>
    <w:p>
      <w:pPr>
        <w:jc w:val="start"/>
        <w:bidi/>
      </w:pPr>
      <w:r>
        <w:rPr>
          <w:sz w:val="24"/>
          <w:szCs w:val="24"/>
          <w:b w:val="1"/>
          <w:bCs w:val="1"/>
          <w:rtl/>
        </w:rPr>
        <w:t xml:space="preserve">
الأعلام،(دار العلم للملايين - بيروت،2002،ط 15،ج 2،ص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2026-07-10T10:05:51+03:00</dcterms:created>
  <dcterms:modified xsi:type="dcterms:W3CDTF">2026-07-10T10:05:51+03:00</dcterms:modified>
</cp:coreProperties>
</file>

<file path=docProps/custom.xml><?xml version="1.0" encoding="utf-8"?>
<Properties xmlns="http://schemas.openxmlformats.org/officeDocument/2006/custom-properties" xmlns:vt="http://schemas.openxmlformats.org/officeDocument/2006/docPropsVTypes"/>
</file>