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البرهان الطرابلسي
</w:t>
      </w:r>
    </w:p>
    <w:p>
      <w:pPr>
        <w:jc w:val="start"/>
        <w:bidi/>
      </w:pPr>
      <w:r>
        <w:rPr>
          <w:rFonts w:ascii="arial" w:hAnsi="arial" w:eastAsia="arial" w:cs="arial"/>
          <w:sz w:val="28"/>
          <w:szCs w:val="28"/>
          <w:b w:val="1"/>
          <w:bCs w:val="1"/>
          <w:rtl/>
        </w:rPr>
        <w:t xml:space="preserve">البرهان الطرابلسي
</w:t>
      </w:r>
    </w:p>
    <w:p>
      <w:pPr/>
      <w:r>
        <w:rPr/>
        <w:t xml:space="preserve">البرهان الطرابلسي  إبراهيم بن موسى بن أبي بكر الطرابلسي، برهان الدين: فقيه حنفي. ولد في طرابلس الشام، واخذ بدمشق عن جماعة وانتقل إلى القاهرة وتوفي بها من كتبه (الاسعاف لاحكام الاوقاف - ط). </w:t>
      </w:r>
    </w:p>
    <w:p>
      <w:pPr>
        <w:jc w:val="start"/>
        <w:bidi/>
      </w:pPr>
      <w:r>
        <w:rPr>
          <w:sz w:val="24"/>
          <w:szCs w:val="24"/>
          <w:b w:val="1"/>
          <w:bCs w:val="1"/>
          <w:rtl/>
        </w:rPr>
        <w:t xml:space="preserve">
الأعلام،(دار العلم للملايين - بيروت،2002،ط 15،ج 1،ص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موسى بن أبي بكر
</w:t>
      </w:r>
    </w:p>
    <w:p>
      <w:pPr/>
      <w:r>
        <w:rPr/>
        <w:t xml:space="preserve">إبراهيم بن موسى بن أبي بكر ابن الشيخ علي الطرابلسي، الحنفي</w:t>
      </w:r>
    </w:p>
    <w:p/>
    <w:p>
      <w:pPr/>
      <w:r>
        <w:rPr/>
        <w:t xml:space="preserve">نزيل القاهرة.</w:t>
      </w:r>
    </w:p>
    <w:p/>
    <w:p>
      <w:pPr/>
      <w:r>
        <w:rPr/>
        <w:t xml:space="preserve">أخذ في دمشق، عن جماعة، منهم: الشرف ابن عبيد، وقدم معه القاهرة، حين طلب لقضائها.</w:t>
      </w:r>
    </w:p>
    <w:p/>
    <w:p>
      <w:pPr/>
      <w:r>
        <w:rPr/>
        <w:t xml:space="preserve">ولازم الصلاح الطرابلسي، ورغب له عن تصرفه بالمؤيدية، لما أعطي مشيخة الأشرفية.</w:t>
      </w:r>
    </w:p>
    <w:p/>
    <w:p>
      <w:pPr/>
      <w:r>
        <w:rPr/>
        <w:t xml:space="preserve">وأخذ عن الديمي ’’ شرح ألفية العراقي ’’ للناظم، وعن السباطي أشياء.</w:t>
      </w:r>
    </w:p>
    <w:p/>
    <w:p>
      <w:pPr/>
      <w:r>
        <w:rPr/>
        <w:t xml:space="preserve">قال السخاوي: وكذا سمع على ’’ شرح معاني الآثار ’’ لمحمد بن الحسن، وغيرهما، وعلق عني بعض التآليف.</w:t>
      </w:r>
    </w:p>
    <w:p/>
    <w:p>
      <w:pPr/>
      <w:r>
        <w:rPr/>
        <w:t xml:space="preserve">وهو فاضل، ساكن، دين. رحمه الله تعالى.</w:t>
      </w:r>
    </w:p>
    <w:p/>
    <w:p>
      <w:pPr/>
      <w:r>
        <w:rPr/>
        <w:t xml:space="preserve">ورأيت بخط الشيخ العلامة علي ابن غانم المقدسي، مفتي الديار المصرية، أن من تآليف صاحب الترجمة كتاب ’’ الإسعاف في أحكام الأوقاف ’’، وكتاب ’’ مواهب الرحمن في مذهب النعمان ’’ وشرحه سماه ’’ البرهان ’’.</w:t>
      </w:r>
    </w:p>
    <w:p>
      <w:pPr>
        <w:jc w:val="start"/>
        <w:bidi/>
      </w:pPr>
      <w:r>
        <w:rPr>
          <w:sz w:val="24"/>
          <w:szCs w:val="24"/>
          <w:b w:val="1"/>
          <w:bCs w:val="1"/>
          <w:rtl/>
        </w:rPr>
        <w:t xml:space="preserve">
الطبقات السنية في تراجم الحنفية،(دار الرفاعي - الرياض،1983،ط 0،ج 1،ص 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2026-07-02T01:53:04+03:00</dcterms:created>
  <dcterms:modified xsi:type="dcterms:W3CDTF">2026-07-02T01:53:04+03:00</dcterms:modified>
</cp:coreProperties>
</file>

<file path=docProps/custom.xml><?xml version="1.0" encoding="utf-8"?>
<Properties xmlns="http://schemas.openxmlformats.org/officeDocument/2006/custom-properties" xmlns:vt="http://schemas.openxmlformats.org/officeDocument/2006/docPropsVTypes"/>
</file>