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حوثرة بن وداع
</w:t>
      </w:r>
    </w:p>
    <w:p>
      <w:pPr>
        <w:jc w:val="start"/>
        <w:bidi/>
      </w:pPr>
      <w:r>
        <w:rPr>
          <w:rFonts w:ascii="arial" w:hAnsi="arial" w:eastAsia="arial" w:cs="arial"/>
          <w:sz w:val="28"/>
          <w:szCs w:val="28"/>
          <w:b w:val="1"/>
          <w:bCs w:val="1"/>
          <w:rtl/>
        </w:rPr>
        <w:t xml:space="preserve">حوثرة بن وداع
</w:t>
      </w:r>
    </w:p>
    <w:p>
      <w:pPr/>
      <w:r>
        <w:rPr/>
        <w:t xml:space="preserve">حوثرة بن وداع  حوثرة بن وداع بن مسعود الأسدي: ثائر، من الشجعان الأشداء الزعماء. وكان من شيعة علي بن أبي طالب، في بدء عهده، وشهد معه كثيرا من الوقائع. وفارقه بعد التحكيم، فتنحى في مكان يسمى البندنيجين (قرب النهروان - من أعمال بغداد) ولما قتل علي تحالف حوثرة مع حابس الطائي على قتال معاوية بن أبي سفيان فجمعا أصحابهما في النخيلة (قرب الكوفة) ومعاوية، يومئذ في الكوفة، فعلم بأمرهم ووجه إليهم جيشا أكثره من أهل الكوفة فكانت بين الفريقين وقائع قتل فيها حوثرة: قتله رجل من طيء فرأى أثر السجود على جبهته فندم على قتله</w:t>
      </w:r>
    </w:p>
    <w:p>
      <w:pPr>
        <w:jc w:val="start"/>
        <w:bidi/>
      </w:pPr>
      <w:r>
        <w:rPr>
          <w:sz w:val="24"/>
          <w:szCs w:val="24"/>
          <w:b w:val="1"/>
          <w:bCs w:val="1"/>
          <w:rtl/>
        </w:rPr>
        <w:t xml:space="preserve">
الأعلام،(دار العلم للملايين - بيروت،2002،ط 15،ج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2026-07-10T08:53:47+03:00</dcterms:created>
  <dcterms:modified xsi:type="dcterms:W3CDTF">2026-07-10T08:53:47+03:00</dcterms:modified>
</cp:coreProperties>
</file>

<file path=docProps/custom.xml><?xml version="1.0" encoding="utf-8"?>
<Properties xmlns="http://schemas.openxmlformats.org/officeDocument/2006/custom-properties" xmlns:vt="http://schemas.openxmlformats.org/officeDocument/2006/docPropsVTypes"/>
</file>