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حنا الأسعد
</w:t>
      </w:r>
    </w:p>
    <w:p>
      <w:pPr>
        <w:jc w:val="start"/>
        <w:bidi/>
      </w:pPr>
      <w:r>
        <w:rPr>
          <w:rFonts w:ascii="arial" w:hAnsi="arial" w:eastAsia="arial" w:cs="arial"/>
          <w:sz w:val="28"/>
          <w:szCs w:val="28"/>
          <w:b w:val="1"/>
          <w:bCs w:val="1"/>
          <w:rtl/>
        </w:rPr>
        <w:t xml:space="preserve">حنا الأسعد
</w:t>
      </w:r>
    </w:p>
    <w:p>
      <w:pPr/>
      <w:r>
        <w:rPr/>
        <w:t xml:space="preserve">حنا الأسعد  حنا بن أسعد بن جريس أبي صعب اللبناني، المعروف بحنا بك الأسعد: متأدب، له نظم، من مشايخ الموارنة في نواحب البترون. تعلم العربية والسريانية وسافر مع الأمير بشير الشهابي (سنة 1840) إلى مالطة واسطنبول فقرأت بعض العلوم الإسلامية وعاد إلى لبنان (1850) فأنشأ في بيت الدين مطبعة حجرية. وبعد فتنة 1860 أقامه المتصرف (داود باشا) رئيسا للقلم العربي، فاستمر إلى أن توفي. له (ديوان - ط) بالعربية والتركية. </w:t>
      </w:r>
    </w:p>
    <w:p>
      <w:pPr>
        <w:jc w:val="start"/>
        <w:bidi/>
      </w:pPr>
      <w:r>
        <w:rPr>
          <w:sz w:val="24"/>
          <w:szCs w:val="24"/>
          <w:b w:val="1"/>
          <w:bCs w:val="1"/>
          <w:rtl/>
        </w:rPr>
        <w:t xml:space="preserve">
الأعلام،(دار العلم للملايين - بيروت،2002،ط 15،ج 2،ص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2026-07-10T08:51:37+03:00</dcterms:created>
  <dcterms:modified xsi:type="dcterms:W3CDTF">2026-07-10T08:51:37+03:00</dcterms:modified>
</cp:coreProperties>
</file>

<file path=docProps/custom.xml><?xml version="1.0" encoding="utf-8"?>
<Properties xmlns="http://schemas.openxmlformats.org/officeDocument/2006/custom-properties" xmlns:vt="http://schemas.openxmlformats.org/officeDocument/2006/docPropsVTypes"/>
</file>