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حمدي عبيد
</w:t>
      </w:r>
    </w:p>
    <w:p>
      <w:pPr>
        <w:jc w:val="start"/>
        <w:bidi/>
      </w:pPr>
      <w:r>
        <w:rPr>
          <w:rFonts w:ascii="arial" w:hAnsi="arial" w:eastAsia="arial" w:cs="arial"/>
          <w:sz w:val="28"/>
          <w:szCs w:val="28"/>
          <w:b w:val="1"/>
          <w:bCs w:val="1"/>
          <w:rtl/>
        </w:rPr>
        <w:t xml:space="preserve">حمدي عبيد
</w:t>
      </w:r>
    </w:p>
    <w:p>
      <w:pPr/>
      <w:r>
        <w:rPr/>
        <w:t xml:space="preserve">حمدي عبيد  حمدي بن محمد حسن بن يوسف بن عبيد (الذي تنتسب الأسرة إليه) ابن سليمان آغا: فاضل دمشقي الولادة والوفاة. قرأ على مشايخ دمشق وكان عقادا (يعمل في العقادة) وانضم مع أخ له اسمه محمد توفيق، بعد الحرب العامة الأولى، إلى أخيهما الثالث الأصغر (أحمد عبيد مؤسس المكتبة العربية) وصنف (تفسير غريب القرآن) وطبعه على هامش المصحف، وكتبا منها (إلى الحياة) و (من تراث النبوة) و (الأحاديث النبوية) و (من عيون الأخبار) و (من صميم الحياة) وكلها مطبوعة منتشرة. </w:t>
      </w:r>
    </w:p>
    <w:p>
      <w:pPr>
        <w:jc w:val="start"/>
        <w:bidi/>
      </w:pPr>
      <w:r>
        <w:rPr>
          <w:sz w:val="24"/>
          <w:szCs w:val="24"/>
          <w:b w:val="1"/>
          <w:bCs w:val="1"/>
          <w:rtl/>
        </w:rPr>
        <w:t xml:space="preserve">
الأعلام،(دار العلم للملايين - بيروت،2002،ط 15،ج 2،ص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2026-07-10T06:32:03+03:00</dcterms:created>
  <dcterms:modified xsi:type="dcterms:W3CDTF">2026-07-10T06:32:03+03:00</dcterms:modified>
</cp:coreProperties>
</file>

<file path=docProps/custom.xml><?xml version="1.0" encoding="utf-8"?>
<Properties xmlns="http://schemas.openxmlformats.org/officeDocument/2006/custom-properties" xmlns:vt="http://schemas.openxmlformats.org/officeDocument/2006/docPropsVTypes"/>
</file>