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لعبون
</w:t>
      </w:r>
    </w:p>
    <w:p>
      <w:pPr>
        <w:jc w:val="start"/>
        <w:bidi/>
      </w:pPr>
      <w:r>
        <w:rPr>
          <w:rFonts w:ascii="arial" w:hAnsi="arial" w:eastAsia="arial" w:cs="arial"/>
          <w:sz w:val="28"/>
          <w:szCs w:val="28"/>
          <w:b w:val="1"/>
          <w:bCs w:val="1"/>
          <w:rtl/>
        </w:rPr>
        <w:t xml:space="preserve">ابن لعبون
</w:t>
      </w:r>
    </w:p>
    <w:p>
      <w:pPr/>
      <w:r>
        <w:rPr/>
        <w:t xml:space="preserve">ابن لعبون  حمد بن محمد بن ناصر بن عثمان (لعبون) بن ناصر المدلجي الوائلي النجدي: فاضل من المشتغلين بالتاريخ. من أهل بلدة (حرمة) بنجد توفي والده (سنة 1182 وأجلي عن حرمة (1193) فاستوطن القصب، ثم (ثادق) حيث ولد ابنه محمد (الشاعر) واستقر حمد (سنة 1238) في (التويم) من بلاد سدير، واشتهر بنسبة اليها، حتى تكرر في كتاب إبراهيم بن عيسى (تاريخ بعض الحوادث الواقعة بنجد - ط) تعريفه بساكن التويم. وصنف سنة 1255 كتابا في (تاريخ نجد - ط) ناقصا من أوله، يعرف بتاريخ ابن لعبون. وتولى بيت المال في سدير للإمامين سعود الكبير وابنه عبد الله. </w:t>
      </w:r>
    </w:p>
    <w:p>
      <w:pPr>
        <w:jc w:val="start"/>
        <w:bidi/>
      </w:pPr>
      <w:r>
        <w:rPr>
          <w:sz w:val="24"/>
          <w:szCs w:val="24"/>
          <w:b w:val="1"/>
          <w:bCs w:val="1"/>
          <w:rtl/>
        </w:rPr>
        <w:t xml:space="preserve">
الأعلام،(دار العلم للملايين - بيروت،2002،ط 15،ج 2،ص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2026-07-10T06:32:53+03:00</dcterms:created>
  <dcterms:modified xsi:type="dcterms:W3CDTF">2026-07-10T06:32:53+03:00</dcterms:modified>
</cp:coreProperties>
</file>

<file path=docProps/custom.xml><?xml version="1.0" encoding="utf-8"?>
<Properties xmlns="http://schemas.openxmlformats.org/officeDocument/2006/custom-properties" xmlns:vt="http://schemas.openxmlformats.org/officeDocument/2006/docPropsVTypes"/>
</file>