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النوري
</w:t>
      </w:r>
    </w:p>
    <w:p>
      <w:pPr/>
      <w:r>
        <w:rPr/>
        <w:t xml:space="preserve">حسين النوري  حسين بن محمد تقي النوري المازندراني الطبرسي: فقيه إمامي. ولد في قرية (يالو) من قرى نور (إحدى كور طبرستان) وتوفي في الغري (بالكوفة) من كتبه (نفس الرحمن في فضائل سلمان - ط) و (دار السلام - ط) في الأحلام، مجلدان، جمع فيه ما يتناقله الناس في ذلك، و (مستدرك الوسائل) في الفقه، ثلاثة أجزاء، و (فصل الخطاب في تحريف كتاب رب الأرباب - ط) و (معالم العبر - ط) و (جنة المأوى - ط) و (الفيض القدسي في أحوال المجلسي - ط) و (كشف الأستار - ط) و (اللؤلؤ والمرجان - ط) في نقد قراءة التعازي، و (تحية الزائر - ط) في الزيارات. وله كتب أخرى ورسائل، بالفارسية، طبع أكثرها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2026-07-09T00:50:43+03:00</dcterms:created>
  <dcterms:modified xsi:type="dcterms:W3CDTF">2026-07-09T00:50:43+03:00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