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العسكر
</w:t>
      </w:r>
    </w:p>
    <w:p>
      <w:pPr>
        <w:jc w:val="start"/>
        <w:bidi/>
      </w:pPr>
      <w:r>
        <w:rPr>
          <w:rFonts w:ascii="arial" w:hAnsi="arial" w:eastAsia="arial" w:cs="arial"/>
          <w:sz w:val="28"/>
          <w:szCs w:val="28"/>
          <w:b w:val="1"/>
          <w:bCs w:val="1"/>
          <w:rtl/>
        </w:rPr>
        <w:t xml:space="preserve">ابن قاضي العسكر
</w:t>
      </w:r>
    </w:p>
    <w:p>
      <w:pPr/>
      <w:r>
        <w:rPr/>
        <w:t xml:space="preserve">ابن قاضي العسكر  الحسين بن محمد بن الحسين، الحسيني العلوي، المعروف بابن قاضي العسكر: منشيء، ولى التوقيع بالقاهرة ونقابة الأشراف. وكتب بديوان الإنشاء من التقاليد والتواقيع ما يعي حصره. له ديوان خطب سماه (المقال المحبر في مقام المنبر) على طريقة خطب ابن نباتة. وبنى مدرسة بحارة بهاء الدين وقف عليها وثقفا جيدا ووقف فيها كتبا كثيرة</w:t>
      </w:r>
    </w:p>
    <w:p>
      <w:pPr>
        <w:jc w:val="start"/>
        <w:bidi/>
      </w:pPr>
      <w:r>
        <w:rPr>
          <w:sz w:val="24"/>
          <w:szCs w:val="24"/>
          <w:b w:val="1"/>
          <w:bCs w:val="1"/>
          <w:rtl/>
        </w:rPr>
        <w:t xml:space="preserve">
الأعلام،(دار العلم للملايين - بيروت،2002،ط 15،ج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2026-07-08T23:56:32+03:00</dcterms:created>
  <dcterms:modified xsi:type="dcterms:W3CDTF">2026-07-08T23:56:32+03:00</dcterms:modified>
</cp:coreProperties>
</file>

<file path=docProps/custom.xml><?xml version="1.0" encoding="utf-8"?>
<Properties xmlns="http://schemas.openxmlformats.org/officeDocument/2006/custom-properties" xmlns:vt="http://schemas.openxmlformats.org/officeDocument/2006/docPropsVTypes"/>
</file>