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
</w:t>
      </w:r>
    </w:p>
    <w:p>
      <w:pPr>
        <w:jc w:val="start"/>
        <w:bidi/>
      </w:pPr>
      <w:r>
        <w:rPr>
          <w:rFonts w:ascii="arial" w:hAnsi="arial" w:eastAsia="arial" w:cs="arial"/>
          <w:sz w:val="28"/>
          <w:szCs w:val="28"/>
          <w:b w:val="1"/>
          <w:bCs w:val="1"/>
          <w:rtl/>
        </w:rPr>
        <w:t xml:space="preserve">النجار
</w:t>
      </w:r>
    </w:p>
    <w:p>
      <w:pPr/>
      <w:r>
        <w:rPr/>
        <w:t xml:space="preserve">النجار  الحسين بن محمد بن عبد الله النجار الرازي، أبو عبد الله: رأس الفرقة (المجارية) من المعتزلة، واليه نسبتها. كان حائكا، وقيل: كان يعمل الموازين، من أهل قم. وهو من متكلمي (المجبرة) وله مع النظام عدة مناظرات. واكثر المعتزلة في الري وجهاتها من النجارية، وهو يوافقون أهل السنة في مسألة القضاء والقدر واكتساب العباد وفي الوعد والوعيد وإمامة أبي بكر، ويوافقون المعتزلة في نفي الصفات وخلق القرآن والرؤية. وهم ثلاث فرق: البرغوثية، والزعفرانية، والمستدركة. له كتب، منها (البدل) في الكلام، و (المخلوق) و (اثبات الرسل) و (الإرجاء) و (القضاء والقدر) و (الثواب العقاب) وغير ذلك</w:t>
      </w:r>
    </w:p>
    <w:p>
      <w:pPr>
        <w:jc w:val="start"/>
        <w:bidi/>
      </w:pPr>
      <w:r>
        <w:rPr>
          <w:sz w:val="24"/>
          <w:szCs w:val="24"/>
          <w:b w:val="1"/>
          <w:bCs w:val="1"/>
          <w:rtl/>
        </w:rPr>
        <w:t xml:space="preserve">
الأعلام،(دار العلم للملايين - بيروت،2002،ط 15،ج 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2026-07-08T23:43:15+03:00</dcterms:created>
  <dcterms:modified xsi:type="dcterms:W3CDTF">2026-07-08T23:43:15+03:00</dcterms:modified>
</cp:coreProperties>
</file>

<file path=docProps/custom.xml><?xml version="1.0" encoding="utf-8"?>
<Properties xmlns="http://schemas.openxmlformats.org/officeDocument/2006/custom-properties" xmlns:vt="http://schemas.openxmlformats.org/officeDocument/2006/docPropsVTypes"/>
</file>