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العمري
</w:t>
      </w:r>
    </w:p>
    <w:p>
      <w:pPr>
        <w:jc w:val="start"/>
        <w:bidi/>
      </w:pPr>
      <w:r>
        <w:rPr>
          <w:rFonts w:ascii="arial" w:hAnsi="arial" w:eastAsia="arial" w:cs="arial"/>
          <w:sz w:val="28"/>
          <w:szCs w:val="28"/>
          <w:b w:val="1"/>
          <w:bCs w:val="1"/>
          <w:rtl/>
        </w:rPr>
        <w:t xml:space="preserve">القاضي العمري
</w:t>
      </w:r>
    </w:p>
    <w:p>
      <w:pPr/>
      <w:r>
        <w:rPr/>
        <w:t xml:space="preserve">القاضي العمري  حسين بن علي بن محمد العمري: فقيه زيدي، من أهل صنعاء، من بيت علم ومجادة. كان ينعت بقاضي القضاة. اشتغل بالتدريس، ونسخ بيده كثيرا من الكتب، وتولى رئاسة الاستئناف، ثم نظارة الأوقاف بصنعاء. وكانت له يد في عقد الصلح بين الإمام يحيى حميد الدين والترك العثمانيين سنة 1329هـ. وجمع القاضي فخر الدين عبد الله بن عبد الكريم الجرافي، بعض أخباره وأسما شيوخه وتراجم تلاميذه في جزء سماه (تحفة الإخوان بحلية علامة الزمان - ط) توفي بصنعاء ودفن في كبيشان. </w:t>
      </w:r>
    </w:p>
    <w:p>
      <w:pPr>
        <w:jc w:val="start"/>
        <w:bidi/>
      </w:pPr>
      <w:r>
        <w:rPr>
          <w:sz w:val="24"/>
          <w:szCs w:val="24"/>
          <w:b w:val="1"/>
          <w:bCs w:val="1"/>
          <w:rtl/>
        </w:rPr>
        <w:t xml:space="preserve">
الأعلام،(دار العلم للملايين - بيروت،2002،ط 15،ج 2،ص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2026-07-08T22:43:11+03:00</dcterms:created>
  <dcterms:modified xsi:type="dcterms:W3CDTF">2026-07-08T22:43:11+03:00</dcterms:modified>
</cp:coreProperties>
</file>

<file path=docProps/custom.xml><?xml version="1.0" encoding="utf-8"?>
<Properties xmlns="http://schemas.openxmlformats.org/officeDocument/2006/custom-properties" xmlns:vt="http://schemas.openxmlformats.org/officeDocument/2006/docPropsVTypes"/>
</file>