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الجعل الكاغدي
</w:t>
      </w:r>
    </w:p>
    <w:p>
      <w:pPr>
        <w:jc w:val="start"/>
        <w:bidi/>
      </w:pPr>
      <w:r>
        <w:rPr>
          <w:rFonts w:ascii="arial" w:hAnsi="arial" w:eastAsia="arial" w:cs="arial"/>
          <w:sz w:val="28"/>
          <w:szCs w:val="28"/>
          <w:b w:val="1"/>
          <w:bCs w:val="1"/>
          <w:rtl/>
        </w:rPr>
        <w:t xml:space="preserve">الجعل الكاغدي
</w:t>
      </w:r>
    </w:p>
    <w:p>
      <w:pPr/>
      <w:r>
        <w:rPr/>
        <w:t xml:space="preserve">الجعل الكاغدي  الحسين بن علي بن إبراهيم، أبو عبد الله، الملقب بالجعل: فقيه، من شيوخ المعتزلة. كان رفيع القدر، انتشرت شهرته في الأصقاع ولاسيما خراسان. مولده في البصرة ووفاته ببغداد. قال أبو حيان فيما وصفهبه: ملتهب الخاطر، واسع أطراف الكلام، يرجع إلى قوة عجيبة في التدريس، وطول نفس في غلإملاء، مع ضيق صدر عن لقاء الخصم الخ). من كتبه (الإيمان) و (الإقرار) و (المعرفة) و (الرد على الراوندي) و (الرد على الرازي)</w:t>
      </w:r>
    </w:p>
    <w:p>
      <w:pPr>
        <w:jc w:val="start"/>
        <w:bidi/>
      </w:pPr>
      <w:r>
        <w:rPr>
          <w:sz w:val="24"/>
          <w:szCs w:val="24"/>
          <w:b w:val="1"/>
          <w:bCs w:val="1"/>
          <w:rtl/>
        </w:rPr>
        <w:t xml:space="preserve">
الأعلام،(دار العلم للملايين - بيروت،2002،ط 15،ج 2،ص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الجعل الكاغدي
</w:t>
      </w:r>
    </w:p>
    <w:p>
      <w:pPr/>
      <w:r>
        <w:rPr/>
        <w:t xml:space="preserve">الحسين بن علي، الجعل الكاغدي الحسين بن علي بن إبراهيم، أبو عبدالله البصري، المعروف بـ’’الكاغدي’’</w:t>
      </w:r>
    </w:p>
    <w:p/>
    <w:p>
      <w:pPr/>
      <w:r>
        <w:rPr/>
        <w:t xml:space="preserve">قال في الفهرست:’’ من أهل البصرة، ومولده بها، وأستاذه أبو القاسم بن سهلويه، ويلقب بـ’’قشور’’على مذهب أبي هاشم.</w:t>
      </w:r>
    </w:p>
    <w:p/>
    <w:p>
      <w:pPr/>
      <w:r>
        <w:rPr/>
        <w:t xml:space="preserve">وإليه انتهت رئاسة أصحابه في عصره.</w:t>
      </w:r>
    </w:p>
    <w:p/>
    <w:p>
      <w:pPr/>
      <w:r>
        <w:rPr/>
        <w:t xml:space="preserve">وكان فاضلا، فقيها، متكلما، عالي الذكر، نبيه القدر، عالما بمذهبه، منتشر الذكر في الأصقاع والبلدان، وسيما بخراسان. وكان يتفقه على مذهب أهل العراق.</w:t>
      </w:r>
    </w:p>
    <w:p/>
    <w:p>
      <w:pPr/>
      <w:r>
        <w:rPr/>
        <w:t xml:space="preserve">قرأ على أبي الحسن، وأبي جعفر.</w:t>
      </w:r>
    </w:p>
    <w:p/>
    <w:p>
      <w:pPr/>
      <w:r>
        <w:rPr/>
        <w:t xml:space="preserve">ومولده سنة ثمان وثلاثمائة.</w:t>
      </w:r>
    </w:p>
    <w:p/>
    <w:p>
      <w:pPr/>
      <w:r>
        <w:rPr/>
        <w:t xml:space="preserve">وتوفي سنة تسع وستين وثلاثمائة.</w:t>
      </w:r>
    </w:p>
    <w:p/>
    <w:p>
      <w:pPr/>
      <w:r>
        <w:rPr/>
        <w:t xml:space="preserve">وله كتاب ’’نقض كلام الراوندي’’ وكتاب’’الجواب على مسألتي الرامهزي’’ وكتاب’’الإيمان’’ وكتاب’’ الإقرار’’ وكتاب’’ المعرفة’’ كتاب’’شرح مختصر الكرخي’’ وكتاب’’الأشربة’’ وكتاب’’تحريم المتعة’’ وكتاب’’جواز الصلاة بالتلاوة الفارسية’’.</w:t>
      </w:r>
    </w:p>
    <w:p>
      <w:pPr>
        <w:jc w:val="start"/>
        <w:bidi/>
      </w:pPr>
      <w:r>
        <w:rPr>
          <w:sz w:val="24"/>
          <w:szCs w:val="24"/>
          <w:b w:val="1"/>
          <w:bCs w:val="1"/>
          <w:rtl/>
        </w:rPr>
        <w:t xml:space="preserve">
تاج التراجم في طبقات الحنفية،(دار القلم - دمشق،1992،ط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الجعل المتكلم البصري
</w:t>
      </w:r>
    </w:p>
    <w:p>
      <w:pPr/>
      <w:r>
        <w:rPr/>
        <w:t xml:space="preserve">الحسين الجعل المتكلم البصري. يأتي بعنوان الحسين بن علي أبو عبد الله البصري يعرف بالجعل.</w:t>
      </w:r>
    </w:p>
    <w:p>
      <w:pPr>
        <w:jc w:val="start"/>
        <w:bidi/>
      </w:pPr>
      <w:r>
        <w:rPr>
          <w:sz w:val="24"/>
          <w:szCs w:val="24"/>
          <w:b w:val="1"/>
          <w:bCs w:val="1"/>
          <w:rtl/>
        </w:rPr>
        <w:t xml:space="preserve">
أعيان الشيعة،(دار التعارف للمطبوعات - بيروت،1983،ط 1،ج 5،ص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الجعل الحنفي
</w:t>
      </w:r>
    </w:p>
    <w:p>
      <w:pPr/>
      <w:r>
        <w:rPr/>
        <w:t xml:space="preserve">الجعل الحنفي الحسين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الجعل الحنفي
</w:t>
      </w:r>
    </w:p>
    <w:p>
      <w:pPr/>
      <w:r>
        <w:rPr/>
        <w:t xml:space="preserve">الجعل الحنفي الحسين بن علي، البصري الحنفي المعروف بالجعل. كان مقدما في الفقه والكلام. عاش ثمانين سنة، وكان من كبار المعتزلة، وله تصانيف في ذلك. ذكره أبو إسحق في طبقات الفقهاء، وقال: كان رأس المعتزلة، وصلى عليه أبو علي الفارسي النحوي. وتوفي سنة تسع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الجعل
</w:t>
      </w:r>
    </w:p>
    <w:p>
      <w:pPr/>
      <w:r>
        <w:rPr/>
        <w:t xml:space="preserve">الجعل أبو عبد الله الحسين بن علي البصري، الفقيه المتكلم، صاحب التصانيف، من بحور العلم، لكنه معتزلي داعية، وكان من أئمة الحنفية.</w:t>
      </w:r>
    </w:p>
    <w:p/>
    <w:p>
      <w:pPr/>
      <w:r>
        <w:rPr/>
        <w:t xml:space="preserve">قال الخطيب: له تصانيف كثيرة في الاعتزال. قال لي الصيمري: كان مقدما في الفقه والكلام، مع كثرة أماليه فيهما، وتدريسه لهما.</w:t>
      </w:r>
    </w:p>
    <w:p/>
    <w:p>
      <w:pPr/>
      <w:r>
        <w:rPr/>
        <w:t xml:space="preserve">قال محمد بن إسحاق النديم: الجعل يعرف بالكاغدي، وأستاذه هو أبو القاسم بن سهلويه، انتهت إليه رئاسة أصحابه في عصره، ....  إلى أن قال: وتفقه على أبي الحسن الكرخي، وله كتاب ’’نقض كلام ابن الريوندي’’ في أن الجسم لا يجوز أن يكون مخترعا لا من مادة، وكتاب ’’الكلام’’ أن الله لم يزل موجودا وحده إلى أن خلق الخلق، وكتاب ’’الإيمان’’، وكتاب ’’الإقرار’’، وتصانيف سوى ذلك.</w:t>
      </w:r>
    </w:p>
    <w:p/>
    <w:p>
      <w:pPr/>
      <w:r>
        <w:rPr/>
        <w:t xml:space="preserve">قال أبو إسحاق الشيرازي في ’’طبقات الفقهاء’’: هو رأس المعتزلة، مات في ذي الحجة سنة تسع وستين وثلاث مائة، وصلى عليه شيخ النحو أبو علي الفارسي.</w:t>
      </w:r>
    </w:p>
    <w:p/>
    <w:p>
      <w:pPr/>
      <w:r>
        <w:rPr/>
        <w:t xml:space="preserve">قلت: قارب ثمانين سنة. وقيل: بل عاش إحدى وستين سنة.</w:t>
      </w:r>
    </w:p>
    <w:p>
      <w:pPr>
        <w:jc w:val="start"/>
        <w:bidi/>
      </w:pPr>
      <w:r>
        <w:rPr>
          <w:sz w:val="24"/>
          <w:szCs w:val="24"/>
          <w:b w:val="1"/>
          <w:bCs w:val="1"/>
          <w:rtl/>
        </w:rPr>
        <w:t xml:space="preserve">
سير أعلام النبلاء،(دار الحديث- القاهرة،2006،ط 0،ج 12،ص 272)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2026-07-08T21:37:08+03:00</dcterms:created>
  <dcterms:modified xsi:type="dcterms:W3CDTF">2026-07-08T21:37:08+03:00</dcterms:modified>
</cp:coreProperties>
</file>

<file path=docProps/custom.xml><?xml version="1.0" encoding="utf-8"?>
<Properties xmlns="http://schemas.openxmlformats.org/officeDocument/2006/custom-properties" xmlns:vt="http://schemas.openxmlformats.org/officeDocument/2006/docPropsVTypes"/>
</file>