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برهان الدين
</w:t>
      </w:r>
    </w:p>
    <w:p>
      <w:pPr>
        <w:jc w:val="start"/>
        <w:bidi/>
      </w:pPr>
      <w:r>
        <w:rPr>
          <w:rFonts w:ascii="arial" w:hAnsi="arial" w:eastAsia="arial" w:cs="arial"/>
          <w:sz w:val="28"/>
          <w:szCs w:val="28"/>
          <w:b w:val="1"/>
          <w:bCs w:val="1"/>
          <w:rtl/>
        </w:rPr>
        <w:t xml:space="preserve">برهان الدين
</w:t>
      </w:r>
    </w:p>
    <w:p>
      <w:pPr/>
      <w:r>
        <w:rPr/>
        <w:t xml:space="preserve">برهان الدين  حسين بن العلام الربعي الصيادي: فاضل، ولد في قرية ربع (من اعمال البصرة) وتعلم في البصرة، وانتقل إلى بغداد سنة1113هـ. وعلت له شهرة في الفضل والتصوف، ورحل إلى بادية الشام لزيارة أخ له اسمه علي كان مقيما بالقرب من حران، فمات علي قبل وصوله، ومات حسين على أثره. ومن تصانيفه (تخريج أحاديث الإحياء) و (الاتقان في علم تجويد القرآن) و (الصراط الأقوم) في قصة المعراج، و (حالة أهل الحقيقة) رسالة في التصوف. وله نظم</w:t>
      </w:r>
    </w:p>
    <w:p>
      <w:pPr>
        <w:jc w:val="start"/>
        <w:bidi/>
      </w:pPr>
      <w:r>
        <w:rPr>
          <w:sz w:val="24"/>
          <w:szCs w:val="24"/>
          <w:b w:val="1"/>
          <w:bCs w:val="1"/>
          <w:rtl/>
        </w:rPr>
        <w:t xml:space="preserve">
الأعلام،(دار العلم للملايين - بيروت،2002،ط 15،ج 2،ص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2026-07-08T20:28:42+03:00</dcterms:created>
  <dcterms:modified xsi:type="dcterms:W3CDTF">2026-07-08T20:28:42+03:00</dcterms:modified>
</cp:coreProperties>
</file>

<file path=docProps/custom.xml><?xml version="1.0" encoding="utf-8"?>
<Properties xmlns="http://schemas.openxmlformats.org/officeDocument/2006/custom-properties" xmlns:vt="http://schemas.openxmlformats.org/officeDocument/2006/docPropsVTypes"/>
</file>