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الهضيبي
</w:t>
      </w:r>
    </w:p>
    <w:p>
      <w:pPr>
        <w:jc w:val="start"/>
        <w:bidi/>
      </w:pPr>
      <w:r>
        <w:rPr>
          <w:rFonts w:ascii="arial" w:hAnsi="arial" w:eastAsia="arial" w:cs="arial"/>
          <w:sz w:val="28"/>
          <w:szCs w:val="28"/>
          <w:b w:val="1"/>
          <w:bCs w:val="1"/>
          <w:rtl/>
        </w:rPr>
        <w:t xml:space="preserve">الهضيبي
</w:t>
      </w:r>
    </w:p>
    <w:p>
      <w:pPr/>
      <w:r>
        <w:rPr/>
        <w:t xml:space="preserve">الهضيبي  حسن الهضيبي المصري: المرشد العام للإخوان المسلمين بمصر. ولي القضاء على مدينة أسيوط، ثم كان مستششارا قضائيا. ويؤثر عنه أنه عندما حلف اليمين القانونية أمام ملك مصر، لم ينحن كما كان العزف واقتدى به آخرون. ولما اغتيل زعيم الإخوان الشيخ حسن (بن أحمد) البنا (1949) اتجهت الأنظار إلى الهضيبي واختير (1951) خلفا له. وبعد الثورة المصرية (1952) اتهم بالتآمر على حياة زعيمها جمال عبد الناصر مرتين، فسجن (1954 - 57) وأعيد إلى السحن (64) وأطلق بعد وفاة عبد الناصر (70) فأقام منزويا في داره بالقاهرة إلى أن توفي. </w:t>
      </w:r>
    </w:p>
    <w:p>
      <w:pPr>
        <w:jc w:val="start"/>
        <w:bidi/>
      </w:pPr>
      <w:r>
        <w:rPr>
          <w:sz w:val="24"/>
          <w:szCs w:val="24"/>
          <w:b w:val="1"/>
          <w:bCs w:val="1"/>
          <w:rtl/>
        </w:rPr>
        <w:t xml:space="preserve">
الأعلام،(دار العلم للملايين - بيروت،2002،ط 15،ج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2026-07-08T17:31:48+03:00</dcterms:created>
  <dcterms:modified xsi:type="dcterms:W3CDTF">2026-07-08T17:31:48+03:00</dcterms:modified>
</cp:coreProperties>
</file>

<file path=docProps/custom.xml><?xml version="1.0" encoding="utf-8"?>
<Properties xmlns="http://schemas.openxmlformats.org/officeDocument/2006/custom-properties" xmlns:vt="http://schemas.openxmlformats.org/officeDocument/2006/docPropsVTypes"/>
</file>