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التاكشتي
</w:t>
      </w:r>
    </w:p>
    <w:p>
      <w:pPr>
        <w:jc w:val="start"/>
        <w:bidi/>
      </w:pPr>
      <w:r>
        <w:rPr>
          <w:rFonts w:ascii="arial" w:hAnsi="arial" w:eastAsia="arial" w:cs="arial"/>
          <w:sz w:val="28"/>
          <w:szCs w:val="28"/>
          <w:b w:val="1"/>
          <w:bCs w:val="1"/>
          <w:rtl/>
        </w:rPr>
        <w:t xml:space="preserve">التاكشتي
</w:t>
      </w:r>
    </w:p>
    <w:p>
      <w:pPr/>
      <w:r>
        <w:rPr/>
        <w:t xml:space="preserve">التاكشتي  إبراهيم بن محمد، أبو إسحاق الظريفي، التاكشتي: صوفي أديب من أهل تاكشت في المغرب. ولد بها، وتوفي بمصر عائدا من الحج ونقل إلى بلدته فدفن فيها. له كتب، منها (تحفة الحبيب) في نظم المغني. ذكره المختار السوسي. وقال الحضيكي: وله حواش وطرروتنبيهات على مختصر خليل عجيبة. </w:t>
      </w:r>
    </w:p>
    <w:p>
      <w:pPr>
        <w:jc w:val="start"/>
        <w:bidi/>
      </w:pPr>
      <w:r>
        <w:rPr>
          <w:sz w:val="24"/>
          <w:szCs w:val="24"/>
          <w:b w:val="1"/>
          <w:bCs w:val="1"/>
          <w:rtl/>
        </w:rPr>
        <w:t xml:space="preserve">
الأعلام،(دار العلم للملايين - بيروت،2002،ط 15،ج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2026-05-16T22:25:32+03:00</dcterms:created>
  <dcterms:modified xsi:type="dcterms:W3CDTF">2026-05-16T22:25:32+03:00</dcterms:modified>
</cp:coreProperties>
</file>

<file path=docProps/custom.xml><?xml version="1.0" encoding="utf-8"?>
<Properties xmlns="http://schemas.openxmlformats.org/officeDocument/2006/custom-properties" xmlns:vt="http://schemas.openxmlformats.org/officeDocument/2006/docPropsVTypes"/>
</file>