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القاهر الإسماعيلي
</w:t>
      </w:r>
    </w:p>
    <w:p>
      <w:pPr>
        <w:jc w:val="start"/>
        <w:bidi/>
      </w:pPr>
      <w:r>
        <w:rPr>
          <w:rFonts w:ascii="arial" w:hAnsi="arial" w:eastAsia="arial" w:cs="arial"/>
          <w:sz w:val="28"/>
          <w:szCs w:val="28"/>
          <w:b w:val="1"/>
          <w:bCs w:val="1"/>
          <w:rtl/>
        </w:rPr>
        <w:t xml:space="preserve">القاهر الإسماعيلي
</w:t>
      </w:r>
    </w:p>
    <w:p>
      <w:pPr/>
      <w:r>
        <w:rPr/>
        <w:t xml:space="preserve">القاهر الإسماعيلي  حسن بن محمد بن علي بن نزار: من أئمة الإسماعيلية النزارية. ولد في قلعة (ألموت) من جهات قزوين. وبايعته طائفته بعد موت أبيه (سنة 552) وكانت الحروب قد أتت على أكثر ثرواتهم، فأمرهم بالتجارة. وجعل لدعاته تجارات في الأقطار النائية، يسترون بها دعوتهم. واستمر إلى أن توفي في قلعته. وفي تاريخ الدعوة الإسماعيلية، أسماء من تقول النزارية بإمامتهم، وبأنهم من نسل صاحب الترجمة في سلسلة يورثها الأب ابنه، إلى اليوم - وهم، مع تاريخ وفياتهم الهجرية والميلادية، كما يأتي:</w:t>
      </w:r>
    </w:p>
    <w:p>
      <w:pPr>
        <w:jc w:val="start"/>
        <w:bidi/>
      </w:pPr>
      <w:r>
        <w:rPr>
          <w:sz w:val="24"/>
          <w:szCs w:val="24"/>
          <w:b w:val="1"/>
          <w:bCs w:val="1"/>
          <w:rtl/>
        </w:rPr>
        <w:t xml:space="preserve">
الأعلام،(دار العلم للملايين - بيروت،2002،ط 15،ج 2،ص 213)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2026-07-08T16:37:46+03:00</dcterms:created>
  <dcterms:modified xsi:type="dcterms:W3CDTF">2026-07-08T16:37:46+03:00</dcterms:modified>
</cp:coreProperties>
</file>

<file path=docProps/custom.xml><?xml version="1.0" encoding="utf-8"?>
<Properties xmlns="http://schemas.openxmlformats.org/officeDocument/2006/custom-properties" xmlns:vt="http://schemas.openxmlformats.org/officeDocument/2006/docPropsVTypes"/>
</file>