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شاهين
</w:t>
      </w:r>
    </w:p>
    <w:p>
      <w:pPr>
        <w:jc w:val="start"/>
        <w:bidi/>
      </w:pPr>
      <w:r>
        <w:rPr>
          <w:rFonts w:ascii="arial" w:hAnsi="arial" w:eastAsia="arial" w:cs="arial"/>
          <w:sz w:val="28"/>
          <w:szCs w:val="28"/>
          <w:b w:val="1"/>
          <w:bCs w:val="1"/>
          <w:rtl/>
        </w:rPr>
        <w:t xml:space="preserve">ابن شاهين
</w:t>
      </w:r>
    </w:p>
    <w:p>
      <w:pPr/>
      <w:r>
        <w:rPr/>
        <w:t xml:space="preserve">ابن شاهين  الحسن بن عمران بن شاهين: ثانى المراء بنى شاهين أصحاب البطيحة (بين واسط والبصرة) وليها استقلالا بعد موت أبيه (سنة 369هـ) وجيوش بغداد تهاجمها ولا تفوز منها بطائل، فاستمر على هذه الحال نحو ثلاث سنوات، واغتاله فيها جماعة حرضهم على قتله أخ له يدعى (أبا الفرج)</w:t>
      </w:r>
    </w:p>
    <w:p>
      <w:pPr>
        <w:jc w:val="start"/>
        <w:bidi/>
      </w:pPr>
      <w:r>
        <w:rPr>
          <w:sz w:val="24"/>
          <w:szCs w:val="24"/>
          <w:b w:val="1"/>
          <w:bCs w:val="1"/>
          <w:rtl/>
        </w:rPr>
        <w:t xml:space="preserve">
الأعلام،(دار العلم للملايين - بيروت،2002،ط 15،ج 2،ص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2026-07-08T15:41:09+03:00</dcterms:created>
  <dcterms:modified xsi:type="dcterms:W3CDTF">2026-07-08T15:41:09+03:00</dcterms:modified>
</cp:coreProperties>
</file>

<file path=docProps/custom.xml><?xml version="1.0" encoding="utf-8"?>
<Properties xmlns="http://schemas.openxmlformats.org/officeDocument/2006/custom-properties" xmlns:vt="http://schemas.openxmlformats.org/officeDocument/2006/docPropsVTypes"/>
</file>