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الشرنبلالي
</w:t>
      </w:r>
    </w:p>
    <w:p>
      <w:pPr>
        <w:jc w:val="start"/>
        <w:bidi/>
      </w:pPr>
      <w:r>
        <w:rPr>
          <w:rFonts w:ascii="arial" w:hAnsi="arial" w:eastAsia="arial" w:cs="arial"/>
          <w:sz w:val="28"/>
          <w:szCs w:val="28"/>
          <w:b w:val="1"/>
          <w:bCs w:val="1"/>
          <w:rtl/>
        </w:rPr>
        <w:t xml:space="preserve">الشرنبلالي
</w:t>
      </w:r>
    </w:p>
    <w:p>
      <w:pPr/>
      <w:r>
        <w:rPr/>
        <w:t xml:space="preserve">الشرنبلالي  حسن بن عمار بن على الشرنبلالي المصرى. فقيه حنفى، مكثر من التصنيف. نسبته إلى شبرى باولة (بالنوفية) جاء به والده منها إلى القاهرة، وعمرو ست سنوات. فنشأ بها ودرس في الأزهر، وأصبح المعول عليه فة الفتوى. من كتبه (نور الإيضاح - ط) في الفقه، و (مراقى الفلاح - ط) شرح نور الإيضاح، و (شرح منظومة ابن وهبان - خ) و (تحفة الأكمل - خ) و (التحقيقات القدسية - خ) وتعرف برسائل الشرنبلالي، وعدتها 48 رسالة، و (العقد الفريد - خ) في التقليد و (مراقى السعادات - ط) و (غنية ذوى الأحكام - ط) حاشية على (درر الحكم) لملاخسرو. توفى في القاهرة</w:t>
      </w:r>
    </w:p>
    <w:p>
      <w:pPr>
        <w:jc w:val="start"/>
        <w:bidi/>
      </w:pPr>
      <w:r>
        <w:rPr>
          <w:sz w:val="24"/>
          <w:szCs w:val="24"/>
          <w:b w:val="1"/>
          <w:bCs w:val="1"/>
          <w:rtl/>
        </w:rPr>
        <w:t xml:space="preserve">
الأعلام،(دار العلم للملايين - بيروت،2002،ط 15،ج 2،ص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2026-07-08T15:41:58+03:00</dcterms:created>
  <dcterms:modified xsi:type="dcterms:W3CDTF">2026-07-08T15:41:58+03:00</dcterms:modified>
</cp:coreProperties>
</file>

<file path=docProps/custom.xml><?xml version="1.0" encoding="utf-8"?>
<Properties xmlns="http://schemas.openxmlformats.org/officeDocument/2006/custom-properties" xmlns:vt="http://schemas.openxmlformats.org/officeDocument/2006/docPropsVTypes"/>
</file>