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نسبة إلى ذهل في مشتركات الطريحي بضم الذال المعجمة وإسكان الهاء حي من بكر وهما ذهلان ذهل بن شيبان وذهل بن ثعلبة اه في منهج المقال يقال لمحمد بن بندار بن عاصم وفي النقد أيضا لحميد بن راشد اه ويقال أيضا لبشر بن حسان وحميد بن رشاد وحميد أبي غسان وخالد بن المعمر وسماك بن حرب ومحمد بن عمار. </w:t>
      </w:r>
    </w:p>
    <w:p>
      <w:pPr>
        <w:jc w:val="start"/>
        <w:bidi/>
      </w:pPr>
      <w:r>
        <w:rPr>
          <w:sz w:val="24"/>
          <w:szCs w:val="24"/>
          <w:b w:val="1"/>
          <w:bCs w:val="1"/>
          <w:rtl/>
        </w:rPr>
        <w:t xml:space="preserve">
أعيان الشيعة،(دار التعارف للمطبوعات - بيروت،1983،ط 1،ج 6،ص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2026-06-29T01:55:03+03:00</dcterms:created>
  <dcterms:modified xsi:type="dcterms:W3CDTF">2026-06-29T01:55:03+03:00</dcterms:modified>
</cp:coreProperties>
</file>

<file path=docProps/custom.xml><?xml version="1.0" encoding="utf-8"?>
<Properties xmlns="http://schemas.openxmlformats.org/officeDocument/2006/custom-properties" xmlns:vt="http://schemas.openxmlformats.org/officeDocument/2006/docPropsVTypes"/>
</file>