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دو مرش خان
</w:t>
      </w:r>
    </w:p>
    <w:p>
      <w:pPr>
        <w:jc w:val="start"/>
        <w:bidi/>
      </w:pPr>
      <w:r>
        <w:rPr>
          <w:rFonts w:ascii="arial" w:hAnsi="arial" w:eastAsia="arial" w:cs="arial"/>
          <w:sz w:val="28"/>
          <w:szCs w:val="28"/>
          <w:b w:val="1"/>
          <w:bCs w:val="1"/>
          <w:rtl/>
        </w:rPr>
        <w:t xml:space="preserve">دو مرش خان
</w:t>
      </w:r>
    </w:p>
    <w:p>
      <w:pPr/>
      <w:r>
        <w:rPr/>
        <w:t xml:space="preserve">دو مرش خان كان واليا على خراسان من قبل الشاه إسماعيل الأول الصفوي في كشف الظنون ج 1 ص 419 عند الكلام على كتاب حبيب السير لغياث الدين ابن همام الدين قال: هو تاريخ كبير لخصه من تاريخ والده المسمى بروضة الصفا ألفه بالتماس خواجه حبيب الله من أعيان دولة الشاه إسماعيل ابن حيدر الصفوي سنة 927 ذكر فيه أنه شرع فيه أولا بالتماس مير محمد الحسيني أمير خراسان فلما قتل ونصب مكانه دومرش خان من قبل الشاه إسماعيل استمر على تأليفه إلى أن أتمه وأهداه إليه والى حبيب الله المذكور اه. </w:t>
      </w:r>
    </w:p>
    <w:p>
      <w:pPr>
        <w:jc w:val="start"/>
        <w:bidi/>
      </w:pPr>
      <w:r>
        <w:rPr>
          <w:sz w:val="24"/>
          <w:szCs w:val="24"/>
          <w:b w:val="1"/>
          <w:bCs w:val="1"/>
          <w:rtl/>
        </w:rPr>
        <w:t xml:space="preserve">
أعيان الشيعة،(دار التعارف للمطبوعات - بيروت،1983،ط 1،ج 6،ص 426)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2026-06-27T21:14:21+03:00</dcterms:created>
  <dcterms:modified xsi:type="dcterms:W3CDTF">2026-06-27T21:14:21+03:00</dcterms:modified>
</cp:coreProperties>
</file>

<file path=docProps/custom.xml><?xml version="1.0" encoding="utf-8"?>
<Properties xmlns="http://schemas.openxmlformats.org/officeDocument/2006/custom-properties" xmlns:vt="http://schemas.openxmlformats.org/officeDocument/2006/docPropsVTypes"/>
</file>