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الجواربي
</w:t>
      </w:r>
    </w:p>
    <w:p>
      <w:pPr>
        <w:jc w:val="start"/>
        <w:bidi/>
      </w:pPr>
      <w:r>
        <w:rPr>
          <w:rFonts w:ascii="arial" w:hAnsi="arial" w:eastAsia="arial" w:cs="arial"/>
          <w:sz w:val="28"/>
          <w:szCs w:val="28"/>
          <w:b w:val="1"/>
          <w:bCs w:val="1"/>
          <w:rtl/>
        </w:rPr>
        <w:t xml:space="preserve">داود الجواربي
</w:t>
      </w:r>
    </w:p>
    <w:p>
      <w:pPr/>
      <w:r>
        <w:rPr/>
        <w:t xml:space="preserve">داود الجواربي قال الذهبي في ميزانه الخارج عن الاعتدال: رأس في الرافضة والتجسيم من مرامي جهنم وذمه ذما عظيما وقال: هذا الضرب لا أعلم له رواية مثل بشر المريسي والنظام وأبي الهذيل العلاف وثمامة بن أشرس وهشام بن الحكم الرافضي المشبه وذكر جماعة آخرهم أقرب إلى نحلته وقال: فكونهم لم يرووا الحديث لم أحتفل بذكرهم فأراح الله منهم اه ويوشك أن يكون ذنب الرجل عنده التشيع كذنب هشام بن الحكم كما كان ذنب من ذكرهم الاعتزال وأن تكون نسبة التجسيم إليه نسبة باطلة كنسبتها إلى هشام بن الحكم وهو منها بريء كما بين في ترجمته فيكون هو أولى بما وصف به الرجل.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الجواربى
</w:t>
      </w:r>
    </w:p>
    <w:p>
      <w:pPr/>
      <w:r>
        <w:rPr/>
        <w:t xml:space="preserve">داود الجواربى. رأس في الرفض والتجسيم، من قرامى جهنم.</w:t>
      </w:r>
    </w:p>
    <w:p/>
    <w:p>
      <w:pPr/>
      <w:r>
        <w:rPr/>
        <w:t xml:space="preserve">قال أبو بكر بن أبي عون: سمعت يزيد بن هارون يقول: الجواربى والمريسي كافران.</w:t>
      </w:r>
    </w:p>
    <w:p/>
    <w:p>
      <w:pPr/>
      <w:r>
        <w:rPr/>
        <w:t xml:space="preserve">ثم ضرب يزيد مثلا للجواربي فقال: إنما داود الجواربى عبر جسر واسط فانقطع الجسر فغرق من كان عليه، فخرج شيطان، فقال: أنا داود الجواربى.</w:t>
      </w:r>
    </w:p>
    <w:p/>
    <w:p>
      <w:pPr/>
      <w:r>
        <w:rPr/>
        <w:t xml:space="preserve">قلت: هذا الضرب لا أعلم له رواية مثل بشر المريسى، وأبي إسحاق النظام، وأبي الهذيل العلاف، وثمامة بن أشرس، وهشام بن الحكم الرافضى المشبه، وضرار بن عمرو، ومعمر أبي المعتمر العطار البصري.</w:t>
      </w:r>
    </w:p>
    <w:p/>
    <w:p>
      <w:pPr/>
      <w:r>
        <w:rPr/>
        <w:t xml:space="preserve">وهشام بن عمرو الفوطى، وأبي عيسى الملقب بالمزدا، وأبي موسى الفراء، فلكونهم لم يرووا الحديث لم أحتفل بذكرهم ولا استوعبتهم، فأراح الله منهم</w:t>
      </w:r>
    </w:p>
    <w:p>
      <w:pPr>
        <w:jc w:val="start"/>
        <w:bidi/>
      </w:pPr>
      <w:r>
        <w:rPr>
          <w:sz w:val="24"/>
          <w:szCs w:val="24"/>
          <w:b w:val="1"/>
          <w:bCs w:val="1"/>
          <w:rtl/>
        </w:rPr>
        <w:t xml:space="preserve">
ميزان الاعتدال في نقد الرجال،(دار المعرفة للطباعة والنشر، بيروت - لبنان،1963،ط 1،ج 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2026-06-26T16:39:20+03:00</dcterms:created>
  <dcterms:modified xsi:type="dcterms:W3CDTF">2026-06-26T16:39:20+03:00</dcterms:modified>
</cp:coreProperties>
</file>

<file path=docProps/custom.xml><?xml version="1.0" encoding="utf-8"?>
<Properties xmlns="http://schemas.openxmlformats.org/officeDocument/2006/custom-properties" xmlns:vt="http://schemas.openxmlformats.org/officeDocument/2006/docPropsVTypes"/>
</file>