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خيرات خان باني المدرسة الخيراتية
</w:t>
      </w:r>
    </w:p>
    <w:p>
      <w:pPr>
        <w:jc w:val="start"/>
        <w:bidi/>
      </w:pPr>
      <w:r>
        <w:rPr>
          <w:rFonts w:ascii="arial" w:hAnsi="arial" w:eastAsia="arial" w:cs="arial"/>
          <w:sz w:val="28"/>
          <w:szCs w:val="28"/>
          <w:b w:val="1"/>
          <w:bCs w:val="1"/>
          <w:rtl/>
        </w:rPr>
        <w:t xml:space="preserve">خيرات خان باني المدرسة الخيراتية
</w:t>
      </w:r>
    </w:p>
    <w:p>
      <w:pPr/>
      <w:r>
        <w:rPr/>
        <w:t xml:space="preserve">خيرات خان باني المدرسة الخيراتية في المشهد الرضوي</w:t>
      </w:r>
    </w:p>
    <w:p/>
    <w:p>
      <w:pPr/>
      <w:r>
        <w:rPr/>
        <w:t xml:space="preserve">لا نعلم من أحواله شيئا إلا أنه باني المدرسة الخيراتية أو مدرسة خيرات خان في المشهد المقدس الرضوي في دوله الشاه عباس الصفوي الثاني سنة 1057 وهي إحدى مدارس المشهد المقدس المشهورة التي لا تزال باقية إلى اليوم وهو غير السابق وزير قطب شاه السابع لأن ذاك توفي سنة 1043 وهذا كان حيا سنة 1057. </w:t>
      </w:r>
    </w:p>
    <w:p>
      <w:pPr>
        <w:jc w:val="start"/>
        <w:bidi/>
      </w:pPr>
      <w:r>
        <w:rPr>
          <w:sz w:val="24"/>
          <w:szCs w:val="24"/>
          <w:b w:val="1"/>
          <w:bCs w:val="1"/>
          <w:rtl/>
        </w:rPr>
        <w:t xml:space="preserve">
أعيان الشيعة،(دار التعارف للمطبوعات - بيروت،1983،ط 1،ج 6،ص 362)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2026-06-26T15:32:57+03:00</dcterms:created>
  <dcterms:modified xsi:type="dcterms:W3CDTF">2026-06-26T15:32:57+03:00</dcterms:modified>
</cp:coreProperties>
</file>

<file path=docProps/custom.xml><?xml version="1.0" encoding="utf-8"?>
<Properties xmlns="http://schemas.openxmlformats.org/officeDocument/2006/custom-properties" xmlns:vt="http://schemas.openxmlformats.org/officeDocument/2006/docPropsVTypes"/>
</file>