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طيفور
</w:t>
      </w:r>
    </w:p>
    <w:p>
      <w:pPr>
        <w:jc w:val="start"/>
        <w:bidi/>
      </w:pPr>
      <w:r>
        <w:rPr>
          <w:rFonts w:ascii="arial" w:hAnsi="arial" w:eastAsia="arial" w:cs="arial"/>
          <w:sz w:val="28"/>
          <w:szCs w:val="28"/>
          <w:b w:val="1"/>
          <w:bCs w:val="1"/>
          <w:rtl/>
        </w:rPr>
        <w:t xml:space="preserve">ابن طيفور
</w:t>
      </w:r>
    </w:p>
    <w:p>
      <w:pPr/>
      <w:r>
        <w:rPr/>
        <w:t xml:space="preserve">ابن طيفور  الحسن بن طيفور بن محمد، أبو علي الساموكني أصلا التزنيتي وطنا: محدث نحوي سوسي. تعلم في (تمكديشت) وكان يميل إلى النحو واستاذه يحرضه على الفقه. وجاء شهر رمضان فتصدى لقراءة البخاري وانقطع لإقرائه. ثم انتقل إلى (طاطة) فأقرأ في زاوية الهناء. وفارقها (1251) فاستقر في (تزنيت) وتوفي بها. وللشيخ محمد أكنسوس (الحلل الزنجفورية عن الأسئلة الطيفورية - ط) أجوبة على أسئلة من صاحب الترجمة. وعلى يده انتشرت الطريقة التجانية في سوس الأقصى. وله مجموعة في (فتاويه الخاصة - خ) قال المختار السوسي: رأيتا في الخزانة المسعودية، مجلد كبير يدل على تضلعه من الفقه. </w:t>
      </w:r>
    </w:p>
    <w:p>
      <w:pPr>
        <w:jc w:val="start"/>
        <w:bidi/>
      </w:pPr>
      <w:r>
        <w:rPr>
          <w:sz w:val="24"/>
          <w:szCs w:val="24"/>
          <w:b w:val="1"/>
          <w:bCs w:val="1"/>
          <w:rtl/>
        </w:rPr>
        <w:t xml:space="preserve">
الأعلام،(دار العلم للملايين - بيروت،2002،ط 15،ج 2،ص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2026-07-08T12:20:35+03:00</dcterms:created>
  <dcterms:modified xsi:type="dcterms:W3CDTF">2026-07-08T12:20:35+03:00</dcterms:modified>
</cp:coreProperties>
</file>

<file path=docProps/custom.xml><?xml version="1.0" encoding="utf-8"?>
<Properties xmlns="http://schemas.openxmlformats.org/officeDocument/2006/custom-properties" xmlns:vt="http://schemas.openxmlformats.org/officeDocument/2006/docPropsVTypes"/>
</file>