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خسرو فيروز بن عضد الدولة
</w:t>
      </w:r>
    </w:p>
    <w:p>
      <w:pPr>
        <w:jc w:val="start"/>
        <w:bidi/>
      </w:pPr>
      <w:r>
        <w:rPr>
          <w:rFonts w:ascii="arial" w:hAnsi="arial" w:eastAsia="arial" w:cs="arial"/>
          <w:sz w:val="28"/>
          <w:szCs w:val="28"/>
          <w:b w:val="1"/>
          <w:bCs w:val="1"/>
          <w:rtl/>
        </w:rPr>
        <w:t xml:space="preserve">أبو نصر خسرو فيروز بن عضد الدولة
</w:t>
      </w:r>
    </w:p>
    <w:p>
      <w:pPr/>
      <w:r>
        <w:rPr/>
        <w:t xml:space="preserve">أبو نصر خسرو فيروز بن عضد الدولة فناخسرو بن ركن الدولة الحسن بن بويه الديلمي السلطان</w:t>
      </w:r>
    </w:p>
    <w:p/>
    <w:p>
      <w:pPr/>
      <w:r>
        <w:rPr/>
        <w:t xml:space="preserve">في مجمع الآداب لابن الفوطي قال الحافظ جمال الدين أبو الفرج عبد الرحمن بن الجوزي في تاريخ كتاب المنتظم: حلف الإمام القادر بالله لبهاء الدولة أبي نصر وحلف له بهاء الدولة على صحة نية كل واحد منهما لصاحبه ولقب مع بهاء الدولة وضياء الملة لقبا ثالثا وهو غياث الأمة وهو أول من لقب بألقاب ثلاثة وخطب له بذلك على المنابر اه (أقول) هو عم المتقدم. </w:t>
      </w:r>
    </w:p>
    <w:p>
      <w:pPr>
        <w:jc w:val="start"/>
        <w:bidi/>
      </w:pPr>
      <w:r>
        <w:rPr>
          <w:sz w:val="24"/>
          <w:szCs w:val="24"/>
          <w:b w:val="1"/>
          <w:bCs w:val="1"/>
          <w:rtl/>
        </w:rPr>
        <w:t xml:space="preserve">
أعيان الشيعة،(دار التعارف للمطبوعات - بيروت،1983،ط 1،ج 6،ص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2026-06-26T07:29:27+03:00</dcterms:created>
  <dcterms:modified xsi:type="dcterms:W3CDTF">2026-06-26T07:29:27+03:00</dcterms:modified>
</cp:coreProperties>
</file>

<file path=docProps/custom.xml><?xml version="1.0" encoding="utf-8"?>
<Properties xmlns="http://schemas.openxmlformats.org/officeDocument/2006/custom-properties" xmlns:vt="http://schemas.openxmlformats.org/officeDocument/2006/docPropsVTypes"/>
</file>