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حيدر علي بن ميرزا محمد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حيدر علي بن ميرزا محمد بن الحسن
</w:t>
      </w:r>
    </w:p>
    <w:p>
      <w:pPr/>
      <w:r>
        <w:rPr/>
        <w:t xml:space="preserve">المولى حيدر علي بن ميرزا محمد بن الحسن الشيرواني الأصل الأصفهاني الغروي</w:t>
      </w:r>
    </w:p>
    <w:p/>
    <w:p>
      <w:pPr/>
      <w:r>
        <w:rPr/>
        <w:t xml:space="preserve">كان حيا سنة 1129. . </w:t>
      </w:r>
    </w:p>
    <w:p/>
    <w:p>
      <w:pPr/>
      <w:r>
        <w:rPr/>
        <w:t xml:space="preserve">عالم فاضل مؤلف كان ابن أخت المجلسي وصهره على ابنته وأبوه هو المعروف بملا ميرزا وبالفاضل الشيرواني والمدقق الشيرواني صاحب حاشية المعالم وللمترجم عدة رسائل: </w:t>
      </w:r>
    </w:p>
    <w:p/>
    <w:p>
      <w:pPr/>
      <w:r>
        <w:rPr/>
        <w:t xml:space="preserve">1 – رسالة في الإسلام والإيمان ومعنى الناصب. </w:t>
      </w:r>
    </w:p>
    <w:p/>
    <w:p>
      <w:pPr/>
      <w:r>
        <w:rPr/>
        <w:t xml:space="preserve">2 – فيما ورد في صدر هذه الأئمة. </w:t>
      </w:r>
    </w:p>
    <w:p/>
    <w:p>
      <w:pPr/>
      <w:r>
        <w:rPr/>
        <w:t xml:space="preserve">3 – في أحكام البغاة. </w:t>
      </w:r>
    </w:p>
    <w:p/>
    <w:p>
      <w:pPr/>
      <w:r>
        <w:rPr/>
        <w:t xml:space="preserve">4 – في العترة. </w:t>
      </w:r>
    </w:p>
    <w:p/>
    <w:p>
      <w:pPr/>
      <w:r>
        <w:rPr/>
        <w:t xml:space="preserve">5 – في تراجم السفراء والأبواب الأربعة للمهدي. </w:t>
      </w:r>
    </w:p>
    <w:p/>
    <w:p>
      <w:pPr/>
      <w:r>
        <w:rPr/>
        <w:t xml:space="preserve">6 – في أربع مسائل تعم بها البلوى. </w:t>
      </w:r>
    </w:p>
    <w:p/>
    <w:p>
      <w:pPr/>
      <w:r>
        <w:rPr/>
        <w:t xml:space="preserve">7 – في كيفية استنباط الأحكام في غيبة الإمام. </w:t>
      </w:r>
    </w:p>
    <w:p/>
    <w:p>
      <w:pPr/>
      <w:r>
        <w:rPr/>
        <w:t xml:space="preserve">8 – في المسافة الموجبة للقصر والإفطار. </w:t>
      </w:r>
    </w:p>
    <w:p/>
    <w:p>
      <w:pPr/>
      <w:r>
        <w:rPr/>
        <w:t xml:space="preserve">9 – في الصلاة على النبي صلى الله عليه وسلم. </w:t>
      </w:r>
    </w:p>
    <w:p/>
    <w:p>
      <w:pPr/>
      <w:r>
        <w:rPr/>
        <w:t xml:space="preserve">10 – في المقادير الشرعية. </w:t>
      </w:r>
    </w:p>
    <w:p/>
    <w:p>
      <w:pPr/>
      <w:r>
        <w:rPr/>
        <w:t xml:space="preserve">11 – في وجوب توقير ذرية النبي صلى الله عليه وسلم. </w:t>
      </w:r>
    </w:p>
    <w:p/>
    <w:p>
      <w:pPr/>
      <w:r>
        <w:rPr/>
        <w:t xml:space="preserve">12 – حاشية على المسالك. </w:t>
      </w:r>
    </w:p>
    <w:p/>
    <w:p>
      <w:pPr/>
      <w:r>
        <w:rPr/>
        <w:t xml:space="preserve">13 – في أحكام الأرضين وجدت منها نسخة عليها خط المؤلف بتاريخ 1116. . </w:t>
      </w:r>
    </w:p>
    <w:p/>
    <w:p>
      <w:pPr/>
      <w:r>
        <w:rPr/>
        <w:t xml:space="preserve">14 – في إحكام المسافر. </w:t>
      </w:r>
    </w:p>
    <w:p/>
    <w:p>
      <w:pPr/>
      <w:r>
        <w:rPr/>
        <w:t xml:space="preserve">15 – في أحوال الصحابة. </w:t>
      </w:r>
    </w:p>
    <w:p/>
    <w:p>
      <w:pPr/>
      <w:r>
        <w:rPr/>
        <w:t xml:space="preserve">16 – في أصالة البراءة. </w:t>
      </w:r>
    </w:p>
    <w:p/>
    <w:p>
      <w:pPr/>
      <w:r>
        <w:rPr/>
        <w:t xml:space="preserve">17 – في الإمامة فرغ منه 12 رجب سنة 1129. . </w:t>
      </w:r>
    </w:p>
    <w:p/>
    <w:p>
      <w:pPr/>
      <w:r>
        <w:rPr/>
        <w:t xml:space="preserve">18 – في التوحيد فرغ منه في الغري 18 رجب سنة 1129.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2026-06-26T03:06:19+03:00</dcterms:created>
  <dcterms:modified xsi:type="dcterms:W3CDTF">2026-06-26T03:06:19+03:00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