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السيد محمد حسن
</w:t>
      </w:r>
    </w:p>
    <w:p>
      <w:pPr>
        <w:jc w:val="start"/>
        <w:bidi/>
      </w:pPr>
      <w:r>
        <w:rPr>
          <w:rFonts w:ascii="arial" w:hAnsi="arial" w:eastAsia="arial" w:cs="arial"/>
          <w:sz w:val="28"/>
          <w:szCs w:val="28"/>
          <w:b w:val="1"/>
          <w:bCs w:val="1"/>
          <w:rtl/>
        </w:rPr>
        <w:t xml:space="preserve">السيد حيدر بن السيد محمد حسن
</w:t>
      </w:r>
    </w:p>
    <w:p>
      <w:pPr/>
      <w:r>
        <w:rPr/>
        <w:t xml:space="preserve">السيد حيدر بن السيد محمد حسن نور الدين الموسوي العاملي صاحب شرح الشواهد</w:t>
      </w:r>
    </w:p>
    <w:p/>
    <w:p>
      <w:pPr/>
      <w:r>
        <w:rPr/>
        <w:t xml:space="preserve">هو من سادات آل نور الدين الكرام المنتشرين في النبطية الفوقا وجباع وجويا ودمشق وغيرها. ولد سنة 1147 وكان حيا سنة 1187. له شرح الشواهد وقد وجدت نسخة مخطوطة من هذا الكتاب عند الشيخ محمد حسين الزين العاملي وكتب عنه في مجلة العرفان م 37 ص 416 أنه ذكر في أوله اسمه حيدر بن محمد حسن الموسوي العاملي النباطي مولدا أن الكتاب شرح لشواهد شرحي ابن الناظم والسيوطي على ألفية ابن مالك وشرح القطر لابن هشام وأن اسمه محل القلائد في شرح الشواهد وأنه كتاب كبير عدد صفحاته 368 صفحة كل صفحة 23 سطرا كل سطر 19-20 كلمة والنسخة منقولة عن نسخة بخط مؤلفه وفقه الله لكل خير وكفاه كل هم وغم نهار الجمعة المبارك في 20 من شهر ربيع الأول سنة 1187 من الهجرة على يد سليمان بن أحمد جواد برسم حضرة ذي الفضل الشيخ مقبل ابن المرحوم الشيخ نصار. ويستفاد من دعاء الناسخ للمؤلف أنه كان حيا في الشهر المبارك التاسع في السنة الثالثة من العشر الثامن في المائة الثانية من الألف الثانية (أي في العشر الأول من شهر رمضان سنة 1173) وكان قد مضى من العمر 26 سنة (ومن ذلك علم أن ولادته سنة 1147) وفهم من مقدمته أنه استمد شرحه المذكور من شرح شواهد العين وشرح شواهد السيد محمد ابن السيد علي الموسوي العاملي المطبوع الذي فرغ منه مؤلفه سنة 1057 وأنه ألف هذا الشرح وهو مسافر في بلاد خراسان وذلك دليل على علو همته وقد ناقش العيني والسيد محمد وابن الناظم والسيوطي وابن هشام في عدة مواضع قال: وقد أوردت بعض الإيرادات مع قصر الباع ولكنه قيل: كم ترك الأول للآخر فكنت تارة منتصرا لأبي محمد بن أحمد العيني على شيخ الإسلام السيد محمد العاملي وأخرى له وثالثة عليهما وعلى المصنف والشراح وكان ذلك في أضيق الأوقات علي وأشدها لدي لأني كنت في أسفار العجم والسفر قطعة من سقر فتسليت بذلك على الأوطان والخلان في برهة من الزمان في أرض خراسان. كما فهم من مقدمة الشرح المذكور أن له من المؤلفات أيضا تاج اللبيب وخليل الغريب وبغية الطلبة فانه قال: انه ألفه بعد تحريره تاج اللبيب وخليل الغريب وشروعه في بغية الطلبة متوكلا على من له الغلبة اه. </w:t>
      </w:r>
    </w:p>
    <w:p>
      <w:pPr>
        <w:jc w:val="start"/>
        <w:bidi/>
      </w:pPr>
      <w:r>
        <w:rPr>
          <w:sz w:val="24"/>
          <w:szCs w:val="24"/>
          <w:b w:val="1"/>
          <w:bCs w:val="1"/>
          <w:rtl/>
        </w:rPr>
        <w:t xml:space="preserve">
أعيان الشيعة،(دار التعارف للمطبوعات - بيروت،1983،ط 1،ج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2026-06-26T02:27:08+03:00</dcterms:created>
  <dcterms:modified xsi:type="dcterms:W3CDTF">2026-06-26T02:27:08+03:00</dcterms:modified>
</cp:coreProperties>
</file>

<file path=docProps/custom.xml><?xml version="1.0" encoding="utf-8"?>
<Properties xmlns="http://schemas.openxmlformats.org/officeDocument/2006/custom-properties" xmlns:vt="http://schemas.openxmlformats.org/officeDocument/2006/docPropsVTypes"/>
</file>