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حمزة بن ربعي بن عبد الله بن الجارود الهذلي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حمزة بن ربعي بن عبد الله بن الجارود الهذلي البصري
</w:t>
      </w:r>
    </w:p>
    <w:p>
      <w:pPr/>
      <w:r>
        <w:rPr/>
        <w:t xml:space="preserve">السيد حمزة بن ربعي بن عبد الله بن الجارود الهذلي البصري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2026-06-23T18:21:23+03:00</dcterms:created>
  <dcterms:modified xsi:type="dcterms:W3CDTF">2026-06-23T18:21:23+03:00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