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الأعمى
</w:t>
      </w:r>
    </w:p>
    <w:p>
      <w:pPr>
        <w:jc w:val="start"/>
        <w:bidi/>
      </w:pPr>
      <w:r>
        <w:rPr>
          <w:rFonts w:ascii="arial" w:hAnsi="arial" w:eastAsia="arial" w:cs="arial"/>
          <w:sz w:val="28"/>
          <w:szCs w:val="28"/>
          <w:b w:val="1"/>
          <w:bCs w:val="1"/>
          <w:rtl/>
        </w:rPr>
        <w:t xml:space="preserve">الحكم الأعمى
</w:t>
      </w:r>
    </w:p>
    <w:p>
      <w:pPr/>
      <w:r>
        <w:rPr/>
        <w:t xml:space="preserve">الحكم الأعمى في الفهرست له أصل رويناه عن عدة من أصحابنا عن أبي المفضل عن ابن بطة عن أحمد بن محمد بن عيسى عن أبي عمير عن الحسن بن محبوب عن الحكم الأعمى وفي التعليقة قال جدي المجلسي الأول الظاهر أنه والحكم بن مسكين واحد وهو غير بعيد اه‍. وكذا في النقد وعن الحاوي أقول وذلك لوصف الآتي بالمكفوف. </w:t>
      </w:r>
    </w:p>
    <w:p/>
    <w:p>
      <w:pPr/>
      <w:r>
        <w:rPr/>
        <w:t xml:space="preserve">التمييز </w:t>
      </w:r>
    </w:p>
    <w:p/>
    <w:p>
      <w:pPr/>
      <w:r>
        <w:rPr/>
        <w:t xml:space="preserve">في مشتركات الطريحي والكاظمي يعرف برواية الحسن بن محبوب عنه.</w:t>
      </w:r>
    </w:p>
    <w:p>
      <w:pPr>
        <w:jc w:val="start"/>
        <w:bidi/>
      </w:pPr>
      <w:r>
        <w:rPr>
          <w:sz w:val="24"/>
          <w:szCs w:val="24"/>
          <w:b w:val="1"/>
          <w:bCs w:val="1"/>
          <w:rtl/>
        </w:rPr>
        <w:t xml:space="preserve">
أعيان الشيعة،(دار التعارف للمطبوعات - بيروت،1983،ط 1،ج 6،ص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2026-06-22T10:21:40+03:00</dcterms:created>
  <dcterms:modified xsi:type="dcterms:W3CDTF">2026-06-22T10:21:40+03:00</dcterms:modified>
</cp:coreProperties>
</file>

<file path=docProps/custom.xml><?xml version="1.0" encoding="utf-8"?>
<Properties xmlns="http://schemas.openxmlformats.org/officeDocument/2006/custom-properties" xmlns:vt="http://schemas.openxmlformats.org/officeDocument/2006/docPropsVTypes"/>
</file>