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النضر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النضر الفهري
</w:t>
      </w:r>
    </w:p>
    <w:p>
      <w:pPr/>
      <w:r>
        <w:rPr/>
        <w:t xml:space="preserve">الحسين بن النضر الفهري لا نعلم من أحواله شيئا سوى أن ابن شهرآشوب أورد له في المناقب هذين البيتين:</w:t>
      </w:r>
    </w:p>
    <w:p/>
    <w:p>
      <w:pPr>
        <w:jc w:val="center"/>
      </w:pPr>
      <w:r>
        <w:rPr>
          <w:color w:val="ff0000"/>
        </w:rPr>
        <w:t xml:space="preserve">إن النبي محمدا ووصيه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كل سابقة هما إخوان</w:t>
      </w:r>
    </w:p>
    <w:p/>
    <w:p>
      <w:pPr>
        <w:jc w:val="center"/>
      </w:pPr>
      <w:r>
        <w:rPr>
          <w:color w:val="ff0000"/>
        </w:rPr>
        <w:t xml:space="preserve">قمران نسلهما النجوم فثاقب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منها وخاف خامد اللمعان.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2026-06-22T06:03:49+03:00</dcterms:created>
  <dcterms:modified xsi:type="dcterms:W3CDTF">2026-06-22T06:03:49+03:00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