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الشهير بالكسائي ابن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الشهير بالكسائي ابن محمد بن علي
</w:t>
      </w:r>
    </w:p>
    <w:p>
      <w:pPr/>
      <w:r>
        <w:rPr/>
        <w:t xml:space="preserve">الشيخ حسين الشهير بالكسائي ابن محمد بن علي ابن عبد الغفور بن غلام علي البافقي اليزدي الحائري</w:t>
      </w:r>
    </w:p>
    <w:p/>
    <w:p>
      <w:pPr/>
      <w:r>
        <w:rPr/>
        <w:t xml:space="preserve">توفي بكربلاء حدود سنة 1310. عالم فاضل له التحفة الكسائية في أحوال الخمسة الطاهرة أصحاب الكساء.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2026-06-21T22:13:24+03:00</dcterms:created>
  <dcterms:modified xsi:type="dcterms:W3CDTF">2026-06-21T22:13:24+03:00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