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المحترق وقيل اسمه الحسن بن أبي جعفر محمد
</w:t>
      </w:r>
    </w:p>
    <w:p>
      <w:pPr>
        <w:jc w:val="start"/>
        <w:bidi/>
      </w:pPr>
      <w:r>
        <w:rPr>
          <w:rFonts w:ascii="arial" w:hAnsi="arial" w:eastAsia="arial" w:cs="arial"/>
          <w:sz w:val="28"/>
          <w:szCs w:val="28"/>
          <w:b w:val="1"/>
          <w:bCs w:val="1"/>
          <w:rtl/>
        </w:rPr>
        <w:t xml:space="preserve">الحسين المحترق وقيل اسمه الحسن بن أبي جعفر محمد
</w:t>
      </w:r>
    </w:p>
    <w:p>
      <w:pPr/>
      <w:r>
        <w:rPr/>
        <w:t xml:space="preserve">الحسين المحترق وقيل اسمه الحسن بن أبي جعفر محمد الحسين المحترق وقيل اسمه الحسن بن أبي جعفر محمد الأمير ابن الحسين الأمير بن محمد الثائر بن موسى الثاني بن عبد الله الشيخ الصالح بن موسى الجون بن عبد الله المحض بن الحسن بن الحسن بن علي بن أبي طالب ع.</w:t>
      </w:r>
    </w:p>
    <w:p/>
    <w:p>
      <w:pPr/>
      <w:r>
        <w:rPr/>
        <w:t xml:space="preserve">هو من بيت الإمارة الذين كانت لهم إمارة مكة المكرمة لكنه لم يل الإمارة وأول من وليها منهمأخوه الأمير جعفر بعد سنة 340 كما في عمدة الطالب.</w:t>
      </w:r>
    </w:p>
    <w:p>
      <w:pPr>
        <w:jc w:val="start"/>
        <w:bidi/>
      </w:pPr>
      <w:r>
        <w:rPr>
          <w:sz w:val="24"/>
          <w:szCs w:val="24"/>
          <w:b w:val="1"/>
          <w:bCs w:val="1"/>
          <w:rtl/>
        </w:rPr>
        <w:t xml:space="preserve">
أعيان الشيعة،(دار التعارف للمطبوعات - بيروت،1983،ط 1،ج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2026-06-21T21:08:52+03:00</dcterms:created>
  <dcterms:modified xsi:type="dcterms:W3CDTF">2026-06-21T21:08:52+03:00</dcterms:modified>
</cp:coreProperties>
</file>

<file path=docProps/custom.xml><?xml version="1.0" encoding="utf-8"?>
<Properties xmlns="http://schemas.openxmlformats.org/officeDocument/2006/custom-properties" xmlns:vt="http://schemas.openxmlformats.org/officeDocument/2006/docPropsVTypes"/>
</file>