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حسين علي بن محمد نقي الهروي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حسين علي بن محمد نقي الهروي الأصفهاني
</w:t>
      </w:r>
    </w:p>
    <w:p>
      <w:pPr/>
      <w:r>
        <w:rPr/>
        <w:t xml:space="preserve">المولى حسين علي بن محمد نقي الهروي الأصفهاني الحائري المعروف بالفاضل الهروي</w:t>
      </w:r>
    </w:p>
    <w:p/>
    <w:p>
      <w:pPr/>
      <w:r>
        <w:rPr/>
        <w:t xml:space="preserve"> عالم فاضل مؤلف من تلاميذ الشيخ محمد تقي صاحب حاشية المعالم وأخيه صاحب الفصول له حاشية على الرياض في الفقه وأخرى على</w:t>
      </w:r>
    </w:p>
    <w:p/>
    <w:p>
      <w:pPr/>
      <w:r>
        <w:rPr/>
        <w:t xml:space="preserve">القوانين وشرح الأربعين حديثا وكتاب في علمي الدراية والرجال.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2026-06-21T15:05:04+03:00</dcterms:created>
  <dcterms:modified xsi:type="dcterms:W3CDTF">2026-06-21T15:05:04+03:00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