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علي خان الساكن في كنتور
</w:t>
      </w:r>
    </w:p>
    <w:p>
      <w:pPr>
        <w:jc w:val="start"/>
        <w:bidi/>
      </w:pPr>
      <w:r>
        <w:rPr>
          <w:rFonts w:ascii="arial" w:hAnsi="arial" w:eastAsia="arial" w:cs="arial"/>
          <w:sz w:val="28"/>
          <w:szCs w:val="28"/>
          <w:b w:val="1"/>
          <w:bCs w:val="1"/>
          <w:rtl/>
        </w:rPr>
        <w:t xml:space="preserve">حسين علي خان الساكن في كنتور
</w:t>
      </w:r>
    </w:p>
    <w:p>
      <w:pPr/>
      <w:r>
        <w:rPr/>
        <w:t xml:space="preserve">حسين علي خان الساكن في كنتور توفي سنة 1240 ونيف.</w:t>
      </w:r>
    </w:p>
    <w:p/>
    <w:p>
      <w:pPr/>
      <w:r>
        <w:rPr/>
        <w:t xml:space="preserve">كان عالما فاضلا له معتمد الكلام فارسي نقض فيه إيضاح لطافة المقال الذي كتبه الفاضل الرشيد تلميذ عبد العزيز الدهلوي صاحب التحفة الاثني عشرية وله معتمد الشيعة في الإمامة فارسي صنفه لمعتمد الدولة. والظاهر أنه غير حسين علي خان المتقدم الذي كتب كتابا إلى جمال الدين الخوانساري فأجابه عليه برسالة مفصلة لأن المجيب توفي سنة 1125 والمجاب بعد 1140 وهذا يقتضي ان يكون المجاب عاش أكثر من 115 سنة فيكون من المعمرين ولو كان كذلك لذكر.</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2026-06-21T13:44:25+03:00</dcterms:created>
  <dcterms:modified xsi:type="dcterms:W3CDTF">2026-06-21T13:44:25+03:00</dcterms:modified>
</cp:coreProperties>
</file>

<file path=docProps/custom.xml><?xml version="1.0" encoding="utf-8"?>
<Properties xmlns="http://schemas.openxmlformats.org/officeDocument/2006/custom-properties" xmlns:vt="http://schemas.openxmlformats.org/officeDocument/2006/docPropsVTypes"/>
</file>