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حرقة بنت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حرقة بنت النعمان
</w:t>
      </w:r>
    </w:p>
    <w:p>
      <w:pPr/>
      <w:r>
        <w:rPr/>
        <w:t xml:space="preserve">حرقة بنت النعمان  حرقة بنت النعام بن المنذر بن امرئ القيس، من بنى لخم: شاعرة، من بيت الملك في قومها بالحيرة. قال الآموي: وهي القائلة:</w:t>
      </w:r>
    </w:p>
    <w:p/>
    <w:p>
      <w:pPr>
        <w:jc w:val="center"/>
      </w:pPr>
      <w:r>
        <w:rPr>
          <w:color w:val="ff0000"/>
        </w:rPr>
        <w:t xml:space="preserve">وبينا نسوس الناس والألأمر أمرنا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نحن فيهم سرقة نتنصف</w:t>
      </w:r>
    </w:p>
    <w:p/>
    <w:p>
      <w:pPr>
        <w:jc w:val="center"/>
      </w:pPr>
      <w:r>
        <w:rPr>
          <w:color w:val="ff0000"/>
        </w:rPr>
        <w:t xml:space="preserve">فأف لدنيا لا يدوم نعيمها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تقلب تارات بنا وتصرف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2026-07-07T04:42:33+03:00</dcterms:created>
  <dcterms:modified xsi:type="dcterms:W3CDTF">2026-07-07T04:42:33+03:00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