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الحكم
</w:t>
      </w:r>
    </w:p>
    <w:p>
      <w:pPr>
        <w:jc w:val="start"/>
        <w:bidi/>
      </w:pPr>
      <w:r>
        <w:rPr>
          <w:rFonts w:ascii="arial" w:hAnsi="arial" w:eastAsia="arial" w:cs="arial"/>
          <w:sz w:val="28"/>
          <w:szCs w:val="28"/>
          <w:b w:val="1"/>
          <w:bCs w:val="1"/>
          <w:rtl/>
        </w:rPr>
        <w:t xml:space="preserve">الحسين بن الحكم
</w:t>
      </w:r>
    </w:p>
    <w:p>
      <w:pPr/>
      <w:r>
        <w:rPr/>
        <w:t xml:space="preserve">الحسين بن الحكم. في التعليقة عن الكافي في باب الشك: علي بن إبراهيم عن محمد بن عيسى عن يونس عنه: كتبت إلى العبد الصالح ع أخبره أني شاك وقد قال إبراهيم ع رب أرني كيف تحي الموتى‏ واني أحب أن تريني شيئا فكتب (ع) أن إبراهيم (ع) كان مؤمنا وأحب أن يزداد ايمانا وأنت شاك والشاك لا خير فيه وكتب انما الشك ما لم يأت اليقين فإذا جاء اليقين لم يجز الشك وكتب أن الله عز وجل يقول‏ وما وجدنا لأكثرهم من عهد وإن وجدنا أكثرهم لفاسقين قال نزلت في الشكاك‏ اه وفي التعليقة الظاهر من روايته هذه الرواية رجوعه وزوال شكه اه.</w:t>
      </w:r>
    </w:p>
    <w:p/>
    <w:p>
      <w:pPr/>
      <w:r>
        <w:rPr/>
        <w:t xml:space="preserve">التمييز</w:t>
      </w:r>
    </w:p>
    <w:p/>
    <w:p>
      <w:pPr/>
      <w:r>
        <w:rPr/>
        <w:t xml:space="preserve">عن جامع الرواة أنه نقل رواية محمد بن سهل عنه عن أبي جعفر الثاني ورواية محمد بن عيسى عنه عن العبد الصالح.</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2026-06-15T14:46:28+03:00</dcterms:created>
  <dcterms:modified xsi:type="dcterms:W3CDTF">2026-06-15T14:46:28+03:00</dcterms:modified>
</cp:coreProperties>
</file>

<file path=docProps/custom.xml><?xml version="1.0" encoding="utf-8"?>
<Properties xmlns="http://schemas.openxmlformats.org/officeDocument/2006/custom-properties" xmlns:vt="http://schemas.openxmlformats.org/officeDocument/2006/docPropsVTypes"/>
</file>