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ذوالإصيع العدواني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ذوالإصيع العدواني
</w:t>
      </w:r>
    </w:p>
    <w:p>
      <w:pPr/>
      <w:r>
        <w:rPr/>
        <w:t xml:space="preserve">ذوالإصيع العدواني  حرثان بن الحارث بن محرث بن ثعلبة، من عدوان، ينتهي نسبه إلى مضر: شاعر حكيم شجاع جاهلي. لقب بذى الإصبع لأن حية نهشت إصبع رجله فقطعها، ويقال: كانت له إصبع زائدة. وعاش طويلا حتى عد فى المعمرين. له حروب ووقائع وأخبار. وشعره ملئ بالحكمة والعظة والفخر، قليل الغزل والمديح، وهو صاحب القصيدة المشهورة التي يقول في أولها:</w:t>
      </w:r>
    </w:p>
    <w:p/>
    <w:p>
      <w:pPr>
        <w:jc w:val="center"/>
      </w:pPr>
      <w:r>
        <w:rPr>
          <w:color w:val="ff0000"/>
        </w:rPr>
        <w:t xml:space="preserve">أأسيد إن مالا ملكت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فسر به سيرا جميلا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2026-07-07T04:43:35+03:00</dcterms:created>
  <dcterms:modified xsi:type="dcterms:W3CDTF">2026-07-07T04:43:35+03:00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