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بن إبراهيم بن الأمير محمد معصوم القزويني
</w:t>
      </w:r>
    </w:p>
    <w:p>
      <w:pPr>
        <w:jc w:val="start"/>
        <w:bidi/>
      </w:pPr>
      <w:r>
        <w:rPr>
          <w:rFonts w:ascii="arial" w:hAnsi="arial" w:eastAsia="arial" w:cs="arial"/>
          <w:sz w:val="28"/>
          <w:szCs w:val="28"/>
          <w:b w:val="1"/>
          <w:bCs w:val="1"/>
          <w:rtl/>
        </w:rPr>
        <w:t xml:space="preserve">حسين بن إبراهيم بن الأمير محمد معصوم القزويني
</w:t>
      </w:r>
    </w:p>
    <w:p>
      <w:pPr/>
      <w:r>
        <w:rPr/>
        <w:t xml:space="preserve">حسين بن إبراهيم بن الأمير محمد معصوم القزويني السيد حسين ابن الأمير إبراهيم ويقال محمد إبراهيم ابن الأمير</w:t>
      </w:r>
    </w:p>
    <w:p/>
    <w:p>
      <w:pPr/>
      <w:r>
        <w:rPr/>
        <w:t xml:space="preserve">محمد معصوم بن محمد فصيح بن أولياء الحسيني التبريزي القزويني.</w:t>
      </w:r>
    </w:p>
    <w:p/>
    <w:p>
      <w:pPr/>
      <w:r>
        <w:rPr/>
        <w:t xml:space="preserve">توفي سنة 1208 في قزوين وقبره فيها مزور معروف يتبرك به.</w:t>
      </w:r>
    </w:p>
    <w:p/>
    <w:p>
      <w:pPr/>
      <w:r>
        <w:rPr/>
        <w:t xml:space="preserve">أقوال العلماء فيه</w:t>
      </w:r>
    </w:p>
    <w:p/>
    <w:p>
      <w:pPr/>
      <w:r>
        <w:rPr/>
        <w:t xml:space="preserve">كان عالما جليلا علامة وهو من مشايخ السيد مهدي بحر العلوم الطباطبائي</w:t>
      </w:r>
    </w:p>
    <w:p/>
    <w:p>
      <w:pPr/>
      <w:r>
        <w:rPr/>
        <w:t xml:space="preserve">في الإجازة.</w:t>
      </w:r>
    </w:p>
    <w:p/>
    <w:p>
      <w:pPr/>
      <w:r>
        <w:rPr/>
        <w:t xml:space="preserve">وأطراه بحر العلوم في إجازته للسيد حيدر اليزدي وغيرها فقال فخر السادة العلماء وزين الفضلاء الأجلاء طود العلوم الشامخ وعماد الفضل الراسخ العالم الفاضل المتتبع والفقيه العارف المطلع (انتهى) وقال في حقه صاحب مستدركات الوسائل: العالم الجليل والسيد النبيل صاحب الكرامات الباهرة.</w:t>
      </w:r>
    </w:p>
    <w:p/>
    <w:p>
      <w:pPr/>
      <w:r>
        <w:rPr/>
        <w:t xml:space="preserve">وقال في حقه الشيخ عبد النبي القزويني في تتمة أمل الآمل: البحر الخضم والطود الأشم الفاضل العالم أفقه الفقهاء صاحب الفكر المستقيم والذهن القويم</w:t>
      </w:r>
    </w:p>
    <w:p/>
    <w:p>
      <w:pPr/>
      <w:r>
        <w:rPr/>
        <w:t xml:space="preserve">عديم المثيل جامع للأقوال والأدلة مستنبط للمسائل حقق الأقوال بما لا مزيد</w:t>
      </w:r>
    </w:p>
    <w:p/>
    <w:p>
      <w:pPr/>
      <w:r>
        <w:rPr/>
        <w:t xml:space="preserve">عليه وليس علمه مقصورا على الفقيه بل هو متفنن بالإتقان صحبته من أول الشباب وفارقته عمره نحو خمس وثلاثين والآن قاربنا الخمس والستين ومكارمه لا تحصى (اهـ) .</w:t>
      </w:r>
    </w:p>
    <w:p/>
    <w:p>
      <w:pPr/>
      <w:r>
        <w:rPr/>
        <w:t xml:space="preserve">مشايخه</w:t>
      </w:r>
    </w:p>
    <w:p/>
    <w:p>
      <w:pPr/>
      <w:r>
        <w:rPr/>
        <w:t xml:space="preserve">تلمذ على أبيه المتوفى سنة 1145 ثم على أخيه السيد محمد مهدي ويروي عن أخيه أيضا وعن السيد نصر الله الحائري والشيخ حسين الماحوزي والمولى محمد قاسم بن محمد رضا ابن المولى محمد سراب التنكابني والشيخ محمد علي الجزيني تلميذ محمد بن الحسن بن الحر العاملي.</w:t>
      </w:r>
    </w:p>
    <w:p/>
    <w:p>
      <w:pPr/>
      <w:r>
        <w:rPr/>
        <w:t xml:space="preserve">تلاميذه</w:t>
      </w:r>
    </w:p>
    <w:p/>
    <w:p>
      <w:pPr/>
      <w:r>
        <w:rPr/>
        <w:t xml:space="preserve">منهم بحر العلوم الطباطبائي يروي عنه بالإجازة وتاريخ إجازته له سنة 1193</w:t>
      </w:r>
    </w:p>
    <w:p/>
    <w:p>
      <w:pPr/>
      <w:r>
        <w:rPr/>
        <w:t xml:space="preserve">أو 94.</w:t>
      </w:r>
    </w:p>
    <w:p/>
    <w:p>
      <w:pPr/>
      <w:r>
        <w:rPr/>
        <w:t xml:space="preserve">مؤلفاته</w:t>
      </w:r>
    </w:p>
    <w:p/>
    <w:p>
      <w:pPr/>
      <w:r>
        <w:rPr/>
        <w:t xml:space="preserve">(1) معارج الأحكام في شرح مسالك الإفهام وشرائع الإسلام في مستدركات الوسائل أنه كتاب كبير شريف له مقدمات حسنة نافعة (اهـ) وفي تتميم أمل الآمل للشيخ عبد النبي القزويني له شرح مبسوط على كتاب المسالك حقق فيه مسائله ونقح دلائله وهو كتاب فائق رائق.</w:t>
      </w:r>
    </w:p>
    <w:p/>
    <w:p>
      <w:pPr/>
      <w:r>
        <w:rPr/>
        <w:t xml:space="preserve">(2) مستقصي الاجتهاد في شرح ذخيرة المعاد والإرشاد.</w:t>
      </w:r>
    </w:p>
    <w:p/>
    <w:p>
      <w:pPr/>
      <w:r>
        <w:rPr/>
        <w:t xml:space="preserve">(3) الدر الثمين في الرسائل الأربعين.</w:t>
      </w:r>
    </w:p>
    <w:p/>
    <w:p>
      <w:pPr/>
      <w:r>
        <w:rPr/>
        <w:t xml:space="preserve">(4) رفع الالتباس.</w:t>
      </w:r>
    </w:p>
    <w:p/>
    <w:p>
      <w:pPr/>
      <w:r>
        <w:rPr/>
        <w:t xml:space="preserve">(5) قصد السلوك.</w:t>
      </w:r>
    </w:p>
    <w:p/>
    <w:p>
      <w:pPr/>
      <w:r>
        <w:rPr/>
        <w:t xml:space="preserve">(6) إيضاح المحجة في حل الظهر يوم الجمعة بالحجة وهو إحدى الرسائل الأربعين التي جمعها في الدر الثمين.</w:t>
      </w:r>
    </w:p>
    <w:p/>
    <w:p>
      <w:pPr/>
      <w:r>
        <w:rPr/>
        <w:t xml:space="preserve">(7) اختيار المذهب فيما يصحبه الإنسان من الذهب وهو إحدى الرسائل الأربعين التي يحويها الدر الثمين.</w:t>
      </w:r>
    </w:p>
    <w:p/>
    <w:p>
      <w:pPr/>
      <w:r>
        <w:rPr/>
        <w:t xml:space="preserve">(8) مواهب الوداد.</w:t>
      </w:r>
    </w:p>
    <w:p/>
    <w:p>
      <w:pPr/>
      <w:r>
        <w:rPr/>
        <w:t xml:space="preserve">(9) غاية الاختيار.</w:t>
      </w:r>
    </w:p>
    <w:p/>
    <w:p>
      <w:pPr/>
      <w:r>
        <w:rPr/>
        <w:t xml:space="preserve">(10) رسالة في بيع الوقف وهي إحدى الأربعين المشتمل عليها الدر الثمين.</w:t>
      </w:r>
    </w:p>
    <w:p/>
    <w:p>
      <w:pPr/>
      <w:r>
        <w:rPr/>
        <w:t xml:space="preserve">(11) نظم البرهان منظومة وشرحها.</w:t>
      </w:r>
    </w:p>
    <w:p/>
    <w:p>
      <w:pPr/>
      <w:r>
        <w:rPr/>
        <w:t xml:space="preserve">(12) تذكرة العقول في أصول الدين.</w:t>
      </w:r>
    </w:p>
    <w:p/>
    <w:p>
      <w:pPr/>
      <w:r>
        <w:rPr/>
        <w:t xml:space="preserve">(13) رسالة في حد الكراهية المعتبرة في الخلع.</w:t>
      </w:r>
    </w:p>
    <w:p/>
    <w:p>
      <w:pPr/>
      <w:r>
        <w:rPr/>
        <w:t xml:space="preserve">(14) رسالة في تحريم محارم الموقب.</w:t>
      </w:r>
    </w:p>
    <w:p/>
    <w:p>
      <w:pPr/>
      <w:r>
        <w:rPr/>
        <w:t xml:space="preserve">(15) رسالة في العقد للمحرمة.</w:t>
      </w:r>
    </w:p>
    <w:p/>
    <w:p>
      <w:pPr/>
      <w:r>
        <w:rPr/>
        <w:t xml:space="preserve">(16) رسالة في الفرق بين القلنسوة والتكة من الحرير أو وبر الأرانب.</w:t>
      </w:r>
    </w:p>
    <w:p/>
    <w:p>
      <w:pPr/>
      <w:r>
        <w:rPr/>
        <w:t xml:space="preserve">(17) رسالة في الأحفاد مع وجود الأجداد.</w:t>
      </w:r>
    </w:p>
    <w:p/>
    <w:p>
      <w:pPr/>
      <w:r>
        <w:rPr/>
        <w:t xml:space="preserve">(18) رسالة في حكم النبش.</w:t>
      </w:r>
    </w:p>
    <w:p/>
    <w:p>
      <w:pPr/>
      <w:r>
        <w:rPr/>
        <w:t xml:space="preserve">(19) رسالة في حكم الزنا بذات البعل.</w:t>
      </w:r>
    </w:p>
    <w:p/>
    <w:p>
      <w:pPr/>
      <w:r>
        <w:rPr/>
        <w:t xml:space="preserve">(20) رسالة في نكاح الكوافر ولعلها غاية الاختيار السابقة في تتميم الآمل</w:t>
      </w:r>
    </w:p>
    <w:p/>
    <w:p>
      <w:pPr/>
      <w:r>
        <w:rPr/>
        <w:t xml:space="preserve">إن رسائل الأحفاد والنبش والزنا بذات البعل ونكاح الكوافر كلها في غاية</w:t>
      </w:r>
    </w:p>
    <w:p/>
    <w:p>
      <w:pPr/>
      <w:r>
        <w:rPr/>
        <w:t xml:space="preserve">الحسن والإتقان.</w:t>
      </w:r>
    </w:p>
    <w:p/>
    <w:p>
      <w:pPr/>
      <w:r>
        <w:rPr/>
        <w:t xml:space="preserve">(21) اللآلئ الثمينة في التراجم عندنا منه قطعة نحو عشر ورقات نقلناها في طهران من نسخة في بقايا مكتبة الشيخ فضل الله النوري.</w:t>
      </w:r>
    </w:p>
    <w:p/>
    <w:p>
      <w:pPr/>
      <w:r>
        <w:rPr/>
        <w:t xml:space="preserve">(22) رسالة في صلاة الجمعة ولعلها إيضاح المحجة السابقة.</w:t>
      </w:r>
    </w:p>
    <w:p/>
    <w:p>
      <w:pPr/>
      <w:r>
        <w:rPr/>
        <w:t xml:space="preserve">(23) براهين السداد في شرح الإرشاد كبير في عدة مجلدات.</w:t>
      </w:r>
    </w:p>
    <w:p/>
    <w:p>
      <w:pPr/>
      <w:r>
        <w:rPr/>
        <w:t xml:space="preserve">(24) مختصر جامع الرواة.</w:t>
      </w:r>
    </w:p>
    <w:p/>
    <w:p>
      <w:pPr/>
      <w:r>
        <w:rPr/>
        <w:t xml:space="preserve">(25) كتاب الأخلاق فارسي.</w:t>
      </w:r>
    </w:p>
    <w:p/>
    <w:p>
      <w:pPr/>
      <w:r>
        <w:rPr/>
        <w:t xml:space="preserve">(26) أجوبة مسائلة بالفارسية.</w:t>
      </w:r>
    </w:p>
    <w:p>
      <w:pPr>
        <w:jc w:val="start"/>
        <w:bidi/>
      </w:pPr>
      <w:r>
        <w:rPr>
          <w:sz w:val="24"/>
          <w:szCs w:val="24"/>
          <w:b w:val="1"/>
          <w:bCs w:val="1"/>
          <w:rtl/>
        </w:rPr>
        <w:t xml:space="preserve">
أعيان الشيعة،(دار التعارف للمطبوعات - بيروت،1983،ط 1،ج 5،ص 414)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2026-06-21T13:40:05+03:00</dcterms:created>
  <dcterms:modified xsi:type="dcterms:W3CDTF">2026-06-21T13:40:05+03:00</dcterms:modified>
</cp:coreProperties>
</file>

<file path=docProps/custom.xml><?xml version="1.0" encoding="utf-8"?>
<Properties xmlns="http://schemas.openxmlformats.org/officeDocument/2006/custom-properties" xmlns:vt="http://schemas.openxmlformats.org/officeDocument/2006/docPropsVTypes"/>
</file>