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بن الخطاب
</w:t>
      </w:r>
    </w:p>
    <w:p>
      <w:pPr>
        <w:jc w:val="start"/>
        <w:bidi/>
      </w:pPr>
      <w:r>
        <w:rPr>
          <w:rFonts w:ascii="arial" w:hAnsi="arial" w:eastAsia="arial" w:cs="arial"/>
          <w:sz w:val="28"/>
          <w:szCs w:val="28"/>
          <w:b w:val="1"/>
          <w:bCs w:val="1"/>
          <w:rtl/>
        </w:rPr>
        <w:t xml:space="preserve">الحسين بن إبراهيم بن الخطاب
</w:t>
      </w:r>
    </w:p>
    <w:p>
      <w:pPr/>
      <w:r>
        <w:rPr/>
        <w:t xml:space="preserve">الحسين بن إبراهيم بن الخطاب توفي سنة 552.</w:t>
      </w:r>
    </w:p>
    <w:p/>
    <w:p>
      <w:pPr/>
      <w:r>
        <w:rPr/>
        <w:t xml:space="preserve">في لسان الميزان أنه روي عن أبي زكريا التبريزي (هو شارح ديوان الحماسة) وأخذ عنه في الأدب وسمع من أحمد بن عبد القادر بن يوسف وقدم في الديوان روى عنه ابن الجسار كان يتعاطى الترسل وبدعي التحقيق بالتبري ولم يكن بذاك في الرواية ولا الدراية قال أبو الفضل بن شافع: كان له فضل وأدب وكان شديد الغلو في التشيع وادعى أكثر مما قرأ ومات سنة 552.</w:t>
      </w:r>
    </w:p>
    <w:p>
      <w:pPr>
        <w:jc w:val="start"/>
        <w:bidi/>
      </w:pPr>
      <w:r>
        <w:rPr>
          <w:sz w:val="24"/>
          <w:szCs w:val="24"/>
          <w:b w:val="1"/>
          <w:bCs w:val="1"/>
          <w:rtl/>
        </w:rPr>
        <w:t xml:space="preserve">
أعيان الشيعة،(دار التعارف للمطبوعات - بيروت،1983،ط 1،ج 5،ص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2026-06-21T13:36:53+03:00</dcterms:created>
  <dcterms:modified xsi:type="dcterms:W3CDTF">2026-06-21T13:36:53+03:00</dcterms:modified>
</cp:coreProperties>
</file>

<file path=docProps/custom.xml><?xml version="1.0" encoding="utf-8"?>
<Properties xmlns="http://schemas.openxmlformats.org/officeDocument/2006/custom-properties" xmlns:vt="http://schemas.openxmlformats.org/officeDocument/2006/docPropsVTypes"/>
</file>