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يوسف بن أحمد
</w:t>
      </w:r>
    </w:p>
    <w:p>
      <w:pPr>
        <w:jc w:val="start"/>
        <w:bidi/>
      </w:pPr>
      <w:r>
        <w:rPr>
          <w:rFonts w:ascii="arial" w:hAnsi="arial" w:eastAsia="arial" w:cs="arial"/>
          <w:sz w:val="28"/>
          <w:szCs w:val="28"/>
          <w:b w:val="1"/>
          <w:bCs w:val="1"/>
          <w:rtl/>
        </w:rPr>
        <w:t xml:space="preserve">الشيخ حسن بن يوسف بن أحمد
</w:t>
      </w:r>
    </w:p>
    <w:p>
      <w:pPr/>
      <w:r>
        <w:rPr/>
        <w:t xml:space="preserve">الشيخ حسن بن يوسف بن أحمد مر في ج 21 أن صاحب الرياض رأى نسخة من شرح الفصول النصيرية في الكلام للمقداد السيوري عليها خطه وأجازته لبعض تلاميذه بتاريخ 856 وأنه هو الشيخ عز الدين بو المكارم الحسن بن أحمد بن يوسف بن علي الكركي (المعروف بابن العشرة) وأن الصواب الحسن بن أحمد بن يوسف لا الحسن بن يوسف بن أحمد.</w:t>
      </w:r>
    </w:p>
    <w:p>
      <w:pPr>
        <w:jc w:val="start"/>
        <w:bidi/>
      </w:pPr>
      <w:r>
        <w:rPr>
          <w:sz w:val="24"/>
          <w:szCs w:val="24"/>
          <w:b w:val="1"/>
          <w:bCs w:val="1"/>
          <w:rtl/>
        </w:rPr>
        <w:t xml:space="preserve">
أعيان الشيعة،(دار التعارف للمطبوعات - بيروت،1983،ط 1،ج 5،ص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2026-06-19T15:11:22+03:00</dcterms:created>
  <dcterms:modified xsi:type="dcterms:W3CDTF">2026-06-19T15:11:22+03:00</dcterms:modified>
</cp:coreProperties>
</file>

<file path=docProps/custom.xml><?xml version="1.0" encoding="utf-8"?>
<Properties xmlns="http://schemas.openxmlformats.org/officeDocument/2006/custom-properties" xmlns:vt="http://schemas.openxmlformats.org/officeDocument/2006/docPropsVTypes"/>
</file>