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حسن بن محمود بن محمد آل مغنية العاملي
</w:t>
      </w:r>
    </w:p>
    <w:p>
      <w:pPr>
        <w:jc w:val="start"/>
        <w:bidi/>
      </w:pPr>
      <w:r>
        <w:rPr>
          <w:rFonts w:ascii="arial" w:hAnsi="arial" w:eastAsia="arial" w:cs="arial"/>
          <w:sz w:val="28"/>
          <w:szCs w:val="28"/>
          <w:b w:val="1"/>
          <w:bCs w:val="1"/>
          <w:rtl/>
        </w:rPr>
        <w:t xml:space="preserve">الشيخ حسن بن محمود بن محمد آل مغنية العاملي
</w:t>
      </w:r>
    </w:p>
    <w:p>
      <w:pPr/>
      <w:r>
        <w:rPr/>
        <w:t xml:space="preserve">الشيخ حسن بن محمود بن محمد آل مغنية العاملي وضبط لفظ مغنية في حسن بن مهدي ذكره حفيده الشيخ محمد مغنية في كتابه جواهر الحكم ونفائس الكلم وقال أنه قرأ في النجف الأشرف وأقر بفضله الشيوخ الأعلام ثم عاد إلى جبل عامي وقرأ عليه جماعة وألف وكان في التقى أويس زمانه وكان له ولدان الشيخ علي والشيخ حسين فأرسلهما إلى العراق لطلب العلم وتوفي في غيابهما قبل فتنة الجزار التي كانت سنة 1207.</w:t>
      </w:r>
    </w:p>
    <w:p>
      <w:pPr>
        <w:jc w:val="start"/>
        <w:bidi/>
      </w:pPr>
      <w:r>
        <w:rPr>
          <w:sz w:val="24"/>
          <w:szCs w:val="24"/>
          <w:b w:val="1"/>
          <w:bCs w:val="1"/>
          <w:rtl/>
        </w:rPr>
        <w:t xml:space="preserve">
أعيان الشيعة،(دار التعارف للمطبوعات - بيروت،1983،ط 1،ج 5،ص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2026-06-21T16:04:55+03:00</dcterms:created>
  <dcterms:modified xsi:type="dcterms:W3CDTF">2026-06-21T16:04:55+03:00</dcterms:modified>
</cp:coreProperties>
</file>

<file path=docProps/custom.xml><?xml version="1.0" encoding="utf-8"?>
<Properties xmlns="http://schemas.openxmlformats.org/officeDocument/2006/custom-properties" xmlns:vt="http://schemas.openxmlformats.org/officeDocument/2006/docPropsVTypes"/>
</file>