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معين الدين الحسن بن محمد بن عمر الجويني
</w:t>
      </w:r>
    </w:p>
    <w:p>
      <w:pPr>
        <w:jc w:val="start"/>
        <w:bidi/>
      </w:pPr>
      <w:r>
        <w:rPr>
          <w:rFonts w:ascii="arial" w:hAnsi="arial" w:eastAsia="arial" w:cs="arial"/>
          <w:sz w:val="28"/>
          <w:szCs w:val="28"/>
          <w:b w:val="1"/>
          <w:bCs w:val="1"/>
          <w:rtl/>
        </w:rPr>
        <w:t xml:space="preserve">معين الدين الحسن بن محمد بن عمر الجويني
</w:t>
      </w:r>
    </w:p>
    <w:p>
      <w:pPr/>
      <w:r>
        <w:rPr/>
        <w:t xml:space="preserve">معين الدين الحسن بن محمد بن عمر الجويني توفي سنة 643 في رمضان وقد قارب الستين. </w:t>
      </w:r>
    </w:p>
    <w:p/>
    <w:p>
      <w:pPr/>
      <w:r>
        <w:rPr/>
        <w:t xml:space="preserve">في شذرات الذهب في حوادث سنة 643 فيها توفي معين الدين الصاحب الكبير أبو علي الحسن ابن شيخ الشيوخ صدر الدين محمد بن عمر الجويني في رمضان وقد قارب الستين ولي عدة مناصب وتقدم عند صاحب مصر فأمره على جيشه الذين حاصروا دمشق فأخذها وولى وعزل وعمل نيابة السلطنة فبغته الأجل بعد أربعة أشهر ووجد ما عمل (اه) ولا شك أن كل إنسان يجد ما عمله حاضرا ولا يظلم ربك أحدا ويمكن أن يستفاد تشيعه مما مر.</w:t>
      </w:r>
    </w:p>
    <w:p>
      <w:pPr>
        <w:jc w:val="start"/>
        <w:bidi/>
      </w:pPr>
      <w:r>
        <w:rPr>
          <w:sz w:val="24"/>
          <w:szCs w:val="24"/>
          <w:b w:val="1"/>
          <w:bCs w:val="1"/>
          <w:rtl/>
        </w:rPr>
        <w:t xml:space="preserve">
أعيان الشيعة،(دار التعارف للمطبوعات - بيروت،1983،ط 1،ج 5،ص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2026-06-21T17:24:18+03:00</dcterms:created>
  <dcterms:modified xsi:type="dcterms:W3CDTF">2026-06-21T17:24:18+03:00</dcterms:modified>
</cp:coreProperties>
</file>

<file path=docProps/custom.xml><?xml version="1.0" encoding="utf-8"?>
<Properties xmlns="http://schemas.openxmlformats.org/officeDocument/2006/custom-properties" xmlns:vt="http://schemas.openxmlformats.org/officeDocument/2006/docPropsVTypes"/>
</file>