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الحسن ابن أبي هاشم محمد بن علي
</w:t>
      </w:r>
    </w:p>
    <w:p>
      <w:pPr>
        <w:jc w:val="start"/>
        <w:bidi/>
      </w:pPr>
      <w:r>
        <w:rPr>
          <w:rFonts w:ascii="arial" w:hAnsi="arial" w:eastAsia="arial" w:cs="arial"/>
          <w:sz w:val="28"/>
          <w:szCs w:val="28"/>
          <w:b w:val="1"/>
          <w:bCs w:val="1"/>
          <w:rtl/>
        </w:rPr>
        <w:t xml:space="preserve">أبو محمد الحسن ابن أبي هاشم محمد بن علي
</w:t>
      </w:r>
    </w:p>
    <w:p>
      <w:pPr/>
      <w:r>
        <w:rPr/>
        <w:t xml:space="preserve">أبو محمد الحسن ابن أبي هاشم محمد بن علي ابن عبيد الله بن عبد الله بن الحسن بن الحسن </w:t>
      </w:r>
    </w:p>
    <w:p/>
    <w:p>
      <w:pPr/>
      <w:r>
        <w:rPr/>
        <w:t xml:space="preserve">ابن علي بن أبي طالب</w:t>
      </w:r>
    </w:p>
    <w:p/>
    <w:p>
      <w:pPr/>
      <w:r>
        <w:rPr/>
        <w:t xml:space="preserve">في تاريخ قم ما تعريبه أن أبا هاشم أول من نزل قم من ولد الحسن المثنى وولد المترجم بها ثم ذهب المترجم إلى البصرة وجعله معز الدولة نقيبا بها وتوفي هناك وبقيت أعقابه فيها. </w:t>
      </w:r>
    </w:p>
    <w:p>
      <w:pPr>
        <w:jc w:val="start"/>
        <w:bidi/>
      </w:pPr>
      <w:r>
        <w:rPr>
          <w:sz w:val="24"/>
          <w:szCs w:val="24"/>
          <w:b w:val="1"/>
          <w:bCs w:val="1"/>
          <w:rtl/>
        </w:rPr>
        <w:t xml:space="preserve">
أعيان الشيعة،(دار التعارف للمطبوعات - بيروت،1983،ط 1،ج 5،ص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2026-06-21T17:23:31+03:00</dcterms:created>
  <dcterms:modified xsi:type="dcterms:W3CDTF">2026-06-21T17:23:31+03:00</dcterms:modified>
</cp:coreProperties>
</file>

<file path=docProps/custom.xml><?xml version="1.0" encoding="utf-8"?>
<Properties xmlns="http://schemas.openxmlformats.org/officeDocument/2006/custom-properties" xmlns:vt="http://schemas.openxmlformats.org/officeDocument/2006/docPropsVTypes"/>
</file>